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Arial" w:hAnsi="Arial" w:cs="Arial"/>
          <w:b/>
          <w:b/>
          <w:sz w:val="24"/>
          <w:szCs w:val="24"/>
        </w:rPr>
      </w:pPr>
      <w:r>
        <w:rPr>
          <w:rFonts w:cs="Arial" w:ascii="Arial" w:hAnsi="Arial"/>
          <w:b/>
          <w:sz w:val="24"/>
          <w:szCs w:val="24"/>
        </w:rPr>
        <w:t>KOMUNALNI CENTAR IVANIĆ-GRAD d.o.o.</w:t>
      </w:r>
    </w:p>
    <w:p>
      <w:pPr>
        <w:pStyle w:val="Normal"/>
        <w:spacing w:before="0" w:after="0"/>
        <w:rPr>
          <w:rFonts w:ascii="Arial" w:hAnsi="Arial" w:cs="Arial"/>
          <w:b/>
          <w:b/>
          <w:sz w:val="24"/>
          <w:szCs w:val="24"/>
        </w:rPr>
      </w:pPr>
      <w:r>
        <w:rPr>
          <w:rFonts w:cs="Arial" w:ascii="Arial" w:hAnsi="Arial"/>
          <w:b/>
          <w:sz w:val="24"/>
          <w:szCs w:val="24"/>
        </w:rPr>
        <w:t>IVANIĆ-GRAD, Moslavačka 13</w:t>
      </w:r>
    </w:p>
    <w:p>
      <w:pPr>
        <w:pStyle w:val="Normal"/>
        <w:spacing w:before="0" w:after="0"/>
        <w:rPr>
          <w:rFonts w:ascii="Arial" w:hAnsi="Arial" w:cs="Arial"/>
          <w:b/>
          <w:b/>
          <w:sz w:val="24"/>
          <w:szCs w:val="24"/>
        </w:rPr>
      </w:pPr>
      <w:r>
        <w:rPr>
          <w:rFonts w:cs="Arial" w:ascii="Arial" w:hAnsi="Arial"/>
          <w:b/>
          <w:sz w:val="24"/>
          <w:szCs w:val="24"/>
        </w:rPr>
        <w:t>UPRAVA DRUŠTVA</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sz w:val="24"/>
          <w:szCs w:val="24"/>
        </w:rPr>
      </w:r>
    </w:p>
    <w:p>
      <w:pPr>
        <w:pStyle w:val="Normal"/>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Temeljem članka 30. Zakona o komunalnom gospodarstvu (NN br. 68/18), te Odluke Gradskog vijeća Grada Ivanić-Grada o davanju prethodne suglasnosti Komunalnom centru Ivanić-Grad d.o.o. na Opće uvjete isporuke usluge ukopa pokojnika unutar groblja Grada Ivanić-Grada (Službeni glasnik Grada Ivanić-Grada, broj 02/19) trgovačko društvo Komunalni centar Ivanić-Grad d.o.o. iz Ivanić-Grada, Moslavačka 13, kao komunalne usluge ukopa i kremiranja pokojnika u krematoriju unutar groblja, dana 11.03.2019. donosi</w:t>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OPĆE UVJETE ISPORUKE USLUGE</w:t>
      </w:r>
    </w:p>
    <w:p>
      <w:pPr>
        <w:pStyle w:val="NoSpacing"/>
        <w:jc w:val="center"/>
        <w:rPr>
          <w:rFonts w:ascii="Arial" w:hAnsi="Arial" w:cs="Arial"/>
          <w:b/>
          <w:b/>
          <w:sz w:val="24"/>
          <w:szCs w:val="24"/>
        </w:rPr>
      </w:pPr>
      <w:r>
        <w:rPr>
          <w:rFonts w:cs="Arial" w:ascii="Arial" w:hAnsi="Arial"/>
          <w:b/>
          <w:sz w:val="24"/>
          <w:szCs w:val="24"/>
        </w:rPr>
        <w:t>UKOPA POKOJNIKA</w:t>
      </w:r>
    </w:p>
    <w:p>
      <w:pPr>
        <w:pStyle w:val="NoSpacing"/>
        <w:jc w:val="center"/>
        <w:rPr>
          <w:rFonts w:ascii="Arial" w:hAnsi="Arial" w:cs="Arial"/>
          <w:b/>
          <w:b/>
          <w:sz w:val="24"/>
          <w:szCs w:val="24"/>
        </w:rPr>
      </w:pPr>
      <w:r>
        <w:rPr>
          <w:rFonts w:cs="Arial" w:ascii="Arial" w:hAnsi="Arial"/>
          <w:b/>
          <w:sz w:val="24"/>
          <w:szCs w:val="24"/>
        </w:rPr>
        <w:t>UNUTAR GROBLJA GRADA IVANIĆ-GRADA</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b/>
          <w:b/>
          <w:sz w:val="24"/>
          <w:szCs w:val="24"/>
        </w:rPr>
      </w:pPr>
      <w:r>
        <w:rPr>
          <w:rFonts w:cs="Arial" w:ascii="Arial" w:hAnsi="Arial"/>
          <w:b/>
          <w:sz w:val="24"/>
          <w:szCs w:val="24"/>
        </w:rPr>
      </w:r>
    </w:p>
    <w:p>
      <w:pPr>
        <w:pStyle w:val="NoSpacing"/>
        <w:jc w:val="center"/>
        <w:rPr>
          <w:rFonts w:ascii="Arial" w:hAnsi="Arial" w:cs="Arial"/>
          <w:b/>
          <w:b/>
          <w:sz w:val="24"/>
          <w:szCs w:val="24"/>
        </w:rPr>
      </w:pPr>
      <w:r>
        <w:rPr>
          <w:rFonts w:cs="Arial" w:ascii="Arial" w:hAnsi="Arial"/>
          <w:b/>
          <w:sz w:val="24"/>
          <w:szCs w:val="24"/>
        </w:rPr>
        <w:t>I OPĆE ODREDBE</w:t>
      </w:r>
    </w:p>
    <w:p>
      <w:pPr>
        <w:pStyle w:val="NoSpacing"/>
        <w:jc w:val="both"/>
        <w:rPr>
          <w:rFonts w:ascii="Arial" w:hAnsi="Arial" w:cs="Arial"/>
          <w:b/>
          <w:b/>
          <w:sz w:val="24"/>
          <w:szCs w:val="24"/>
        </w:rPr>
      </w:pPr>
      <w:r>
        <w:rPr>
          <w:rFonts w:cs="Arial" w:ascii="Arial" w:hAnsi="Arial"/>
          <w:b/>
          <w:sz w:val="24"/>
          <w:szCs w:val="24"/>
        </w:rPr>
      </w:r>
    </w:p>
    <w:p>
      <w:pPr>
        <w:pStyle w:val="NoSpacing"/>
        <w:jc w:val="center"/>
        <w:rPr>
          <w:rFonts w:ascii="Arial" w:hAnsi="Arial" w:cs="Arial"/>
          <w:b/>
          <w:b/>
          <w:sz w:val="24"/>
          <w:szCs w:val="24"/>
        </w:rPr>
      </w:pPr>
      <w:r>
        <w:rPr>
          <w:rFonts w:cs="Arial" w:ascii="Arial" w:hAnsi="Arial"/>
          <w:b/>
          <w:sz w:val="24"/>
          <w:szCs w:val="24"/>
        </w:rPr>
        <w:t>Članak 1.</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Ovim Općim uvjetima isporuke grobljanskih usluga (u daljnjem tekstu: Opći uvjeti) određuju se:</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 međusobni odnosi između Isporučitelja i Korisnika grobljanskih usluga na gradskom groblju: Centar, Poljana, Šarampov Gornji i Novo groblje te mjesnom groblju: Caginec, Graberje Ivanićko, Posavski Bregi, Lijevi Dubrovčak, Trebovec i Lepšić-Tarno na kojima Isporučitelj obavlja navedenu djelatnost;</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 prava i obveze Korisnika usluge;</w:t>
      </w:r>
    </w:p>
    <w:p>
      <w:pPr>
        <w:pStyle w:val="NoSpacing"/>
        <w:jc w:val="both"/>
        <w:rPr>
          <w:rFonts w:ascii="Arial" w:hAnsi="Arial" w:cs="Arial"/>
          <w:sz w:val="24"/>
          <w:szCs w:val="24"/>
        </w:rPr>
      </w:pPr>
      <w:r>
        <w:rPr>
          <w:rFonts w:cs="Arial" w:ascii="Arial" w:hAnsi="Arial"/>
          <w:sz w:val="24"/>
          <w:szCs w:val="24"/>
        </w:rPr>
        <w:t>- prava i obveze Isporučitelja usluge;</w:t>
      </w:r>
    </w:p>
    <w:p>
      <w:pPr>
        <w:pStyle w:val="NoSpacing"/>
        <w:jc w:val="both"/>
        <w:rPr>
          <w:rFonts w:ascii="Arial" w:hAnsi="Arial" w:cs="Arial"/>
          <w:sz w:val="24"/>
          <w:szCs w:val="24"/>
        </w:rPr>
      </w:pPr>
      <w:r>
        <w:rPr>
          <w:rFonts w:cs="Arial" w:ascii="Arial" w:hAnsi="Arial"/>
          <w:sz w:val="24"/>
          <w:szCs w:val="24"/>
        </w:rPr>
        <w:t>- osnovni tehnički uvjeti isporuke;</w:t>
      </w:r>
    </w:p>
    <w:p>
      <w:pPr>
        <w:pStyle w:val="NoSpacing"/>
        <w:jc w:val="both"/>
        <w:rPr>
          <w:rFonts w:ascii="Arial" w:hAnsi="Arial" w:cs="Arial"/>
          <w:sz w:val="24"/>
          <w:szCs w:val="24"/>
        </w:rPr>
      </w:pPr>
      <w:r>
        <w:rPr>
          <w:rFonts w:cs="Arial" w:ascii="Arial" w:hAnsi="Arial"/>
          <w:sz w:val="24"/>
          <w:szCs w:val="24"/>
        </w:rPr>
        <w:t>- način obračuna i plaćanja isporuke, te otklanjanje pogreške u obračunu;</w:t>
      </w:r>
    </w:p>
    <w:p>
      <w:pPr>
        <w:pStyle w:val="NoSpacing"/>
        <w:jc w:val="both"/>
        <w:rPr>
          <w:rFonts w:ascii="Arial" w:hAnsi="Arial" w:cs="Arial"/>
          <w:sz w:val="24"/>
          <w:szCs w:val="24"/>
        </w:rPr>
      </w:pPr>
      <w:r>
        <w:rPr>
          <w:rFonts w:cs="Arial" w:ascii="Arial" w:hAnsi="Arial"/>
          <w:sz w:val="24"/>
          <w:szCs w:val="24"/>
        </w:rPr>
        <w:t>- neovlašteno korištenje usluga</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II ODREĐIVANJE POJMOVA</w:t>
      </w:r>
    </w:p>
    <w:p>
      <w:pPr>
        <w:pStyle w:val="NoSpacing"/>
        <w:jc w:val="center"/>
        <w:rPr>
          <w:rFonts w:ascii="Arial" w:hAnsi="Arial" w:cs="Arial"/>
          <w:b/>
          <w:b/>
          <w:sz w:val="24"/>
          <w:szCs w:val="24"/>
        </w:rPr>
      </w:pPr>
      <w:r>
        <w:rPr>
          <w:rFonts w:cs="Arial" w:ascii="Arial" w:hAnsi="Arial"/>
          <w:b/>
          <w:sz w:val="24"/>
          <w:szCs w:val="24"/>
        </w:rPr>
      </w:r>
    </w:p>
    <w:p>
      <w:pPr>
        <w:pStyle w:val="NoSpacing"/>
        <w:jc w:val="center"/>
        <w:rPr>
          <w:rFonts w:ascii="Arial" w:hAnsi="Arial" w:cs="Arial"/>
          <w:b/>
          <w:b/>
          <w:sz w:val="24"/>
          <w:szCs w:val="24"/>
        </w:rPr>
      </w:pPr>
      <w:r>
        <w:rPr>
          <w:rFonts w:cs="Arial" w:ascii="Arial" w:hAnsi="Arial"/>
          <w:b/>
          <w:sz w:val="24"/>
          <w:szCs w:val="24"/>
        </w:rPr>
        <w:t>Članak 2.</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Izrazi koji se koriste u ovim Općim uvjetima imaju značenja utvrđena važećim Zakonom o grobljima (N.N. 19/98, 50/12, 89/17) Pravilnika o grobljima (N.N. 99/02), Odlukom o grobljima (Službeni glasnik Grada Ivanić-Grada 02/14) i ovim Općim uvjetima.</w:t>
      </w:r>
    </w:p>
    <w:p>
      <w:pPr>
        <w:pStyle w:val="NoSpacing"/>
        <w:jc w:val="both"/>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b/>
          <w:b/>
          <w:sz w:val="24"/>
          <w:szCs w:val="24"/>
        </w:rPr>
      </w:pPr>
      <w:r>
        <w:rPr>
          <w:rFonts w:cs="Arial" w:ascii="Arial" w:hAnsi="Arial"/>
          <w:b/>
          <w:sz w:val="24"/>
          <w:szCs w:val="24"/>
        </w:rPr>
        <w:t>Isporučitelj grobljanskih usluga</w:t>
      </w:r>
      <w:r>
        <w:rPr>
          <w:rFonts w:cs="Arial" w:ascii="Arial" w:hAnsi="Arial"/>
          <w:sz w:val="24"/>
          <w:szCs w:val="24"/>
        </w:rPr>
        <w:t xml:space="preserve"> – na području Grada Ivanić-Grada grobljima upravlja Komunalni centar Ivanić-Grad d.o.o., Uprava groblja (u daljnjem tekstu: Isporučitelj).</w:t>
      </w:r>
      <w:r>
        <w:br w:type="page"/>
      </w:r>
    </w:p>
    <w:p>
      <w:pPr>
        <w:pStyle w:val="NoSpacing"/>
        <w:numPr>
          <w:ilvl w:val="0"/>
          <w:numId w:val="1"/>
        </w:numPr>
        <w:jc w:val="both"/>
        <w:rPr>
          <w:rFonts w:ascii="Arial" w:hAnsi="Arial" w:cs="Arial"/>
          <w:sz w:val="24"/>
          <w:szCs w:val="24"/>
        </w:rPr>
      </w:pPr>
      <w:r>
        <w:rPr>
          <w:rFonts w:cs="Arial" w:ascii="Arial" w:hAnsi="Arial"/>
          <w:b/>
          <w:sz w:val="24"/>
          <w:szCs w:val="24"/>
        </w:rPr>
        <w:t xml:space="preserve">Korisnik grobnog mjesta </w:t>
      </w:r>
      <w:r>
        <w:rPr>
          <w:rFonts w:cs="Arial" w:ascii="Arial" w:hAnsi="Arial"/>
          <w:sz w:val="24"/>
          <w:szCs w:val="24"/>
        </w:rPr>
        <w:t>– fizička osoba s pravom korištenja grobnog mjesta nakon dodijele grobnog mjesta na korištenje uz uvjet da ga održava i plaća godišnju grobnu naknadu.</w:t>
      </w:r>
    </w:p>
    <w:p>
      <w:pPr>
        <w:pStyle w:val="NoSpacing"/>
        <w:ind w:left="720" w:hanging="0"/>
        <w:jc w:val="both"/>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Vlasnik grobnog mjesta </w:t>
      </w:r>
      <w:r>
        <w:rPr>
          <w:rFonts w:cs="Arial" w:ascii="Arial" w:hAnsi="Arial"/>
          <w:sz w:val="24"/>
          <w:szCs w:val="24"/>
        </w:rPr>
        <w:t>– vlasnik zemljišta na kojem se grobno mjesto nalazi je Grad Ivanić-Grad. Fizičke osobe mogu biti Korisnici grobnih mjesta i vlasnici nadgrobnih uređaja.</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Grobljanske usluge </w:t>
      </w:r>
      <w:r>
        <w:rPr>
          <w:rFonts w:cs="Arial" w:ascii="Arial" w:hAnsi="Arial"/>
          <w:sz w:val="24"/>
          <w:szCs w:val="24"/>
        </w:rPr>
        <w:t>– podrazumijevaju: pripremu grobnog mjesta (iskop zemlje zatrpavanje zemljom, formiranje humke, uklanjanje cvijeća i vijenaca), micanje i vraćanje grobne ploče, polaganje urne, korištenja mrtvačnice, ekshumacije i dr.; usluge uređenja grobnog mjesta, ustupanje grobnog mjesta, izdavanje dozvole, rješenja i dr.</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Godišnja grobna naknada – </w:t>
      </w:r>
      <w:r>
        <w:rPr>
          <w:rFonts w:cs="Arial" w:ascii="Arial" w:hAnsi="Arial"/>
          <w:sz w:val="24"/>
          <w:szCs w:val="24"/>
        </w:rPr>
        <w:t>korisnik plaća za korištenje grobnog mjesta i za održavanje zajedničkih dijelova groblja.</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Naknada kod dodijele grobnog mjesta </w:t>
      </w:r>
      <w:r>
        <w:rPr>
          <w:rFonts w:cs="Arial" w:ascii="Arial" w:hAnsi="Arial"/>
          <w:sz w:val="24"/>
          <w:szCs w:val="24"/>
        </w:rPr>
        <w:t>– naknada koju Korisnik plaća kod dodijele grobnog mjesta na korištenje.</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Groblje </w:t>
      </w:r>
      <w:r>
        <w:rPr>
          <w:rFonts w:cs="Arial" w:ascii="Arial" w:hAnsi="Arial"/>
          <w:sz w:val="24"/>
          <w:szCs w:val="24"/>
        </w:rPr>
        <w:t>– ograđeni prostor zemljišta na kojem se nalaze grobna mjesta, prateće građevine i komunalna infrastruktura.</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Grobna polja </w:t>
      </w:r>
      <w:r>
        <w:rPr>
          <w:rFonts w:cs="Arial" w:ascii="Arial" w:hAnsi="Arial"/>
          <w:sz w:val="24"/>
          <w:szCs w:val="24"/>
        </w:rPr>
        <w:t>– više grobnih redova sa ne više od 200 grobova sa pristupnim stazama.</w:t>
      </w:r>
    </w:p>
    <w:p>
      <w:pPr>
        <w:pStyle w:val="ListParagraph"/>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Grobni redovi – </w:t>
      </w:r>
      <w:r>
        <w:rPr>
          <w:rFonts w:cs="Arial" w:ascii="Arial" w:hAnsi="Arial"/>
          <w:sz w:val="24"/>
          <w:szCs w:val="24"/>
        </w:rPr>
        <w:t>niz grobnih mjesta (grobova).</w:t>
      </w:r>
    </w:p>
    <w:p>
      <w:pPr>
        <w:pStyle w:val="ListParagraph"/>
        <w:spacing w:before="0" w:after="0"/>
        <w:contextualSpacing/>
        <w:rPr>
          <w:rFonts w:ascii="Arial" w:hAnsi="Arial" w:cs="Arial"/>
          <w:b/>
          <w:b/>
          <w:sz w:val="24"/>
          <w:szCs w:val="24"/>
        </w:rPr>
      </w:pPr>
      <w:r>
        <w:rPr>
          <w:rFonts w:cs="Arial" w:ascii="Arial" w:hAnsi="Arial"/>
          <w:b/>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Bruto površina groba –</w:t>
      </w:r>
      <w:r>
        <w:rPr>
          <w:rFonts w:cs="Arial" w:ascii="Arial" w:hAnsi="Arial"/>
          <w:sz w:val="24"/>
          <w:szCs w:val="24"/>
        </w:rPr>
        <w:t xml:space="preserve"> neto površina grobnog mjesta uvećana za razmak između grobnih mjesta.</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Neto površina groba</w:t>
      </w:r>
      <w:r>
        <w:rPr>
          <w:rFonts w:cs="Arial" w:ascii="Arial" w:hAnsi="Arial"/>
          <w:sz w:val="24"/>
          <w:szCs w:val="24"/>
        </w:rPr>
        <w:t xml:space="preserve"> – parcela grobnog mjesta (groba).</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Nadgrobni uređaj</w:t>
      </w:r>
      <w:r>
        <w:rPr>
          <w:rFonts w:cs="Arial" w:ascii="Arial" w:hAnsi="Arial"/>
          <w:sz w:val="24"/>
          <w:szCs w:val="24"/>
        </w:rPr>
        <w:t xml:space="preserve"> –spomenik i pokrovna ploča.</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Slobodno grobno mjesto </w:t>
      </w:r>
      <w:r>
        <w:rPr>
          <w:rFonts w:cs="Arial" w:ascii="Arial" w:hAnsi="Arial"/>
          <w:sz w:val="24"/>
          <w:szCs w:val="24"/>
        </w:rPr>
        <w:t>– grobno mjesto kojeg se Korisnik odrekao potpisivanjem izjave o odricanju grobnog mjesta u korist Isporučitelja.</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Napušteno grobno mjesto </w:t>
      </w:r>
      <w:r>
        <w:rPr>
          <w:rFonts w:cs="Arial" w:ascii="Arial" w:hAnsi="Arial"/>
          <w:sz w:val="24"/>
          <w:szCs w:val="24"/>
        </w:rPr>
        <w:t>– grobno mjesto za koje nije plaćena grobna naknada 10 godina, te se može dodijeliti ponovno na korištenje, ali nakon proteka 15 godina od zadnjeg ukopa u grob, odnosno, 30 godina od zadnjeg ukopa u grobnicu.</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Ukop </w:t>
      </w:r>
      <w:r>
        <w:rPr>
          <w:rFonts w:cs="Arial" w:ascii="Arial" w:hAnsi="Arial"/>
          <w:sz w:val="24"/>
          <w:szCs w:val="24"/>
        </w:rPr>
        <w:t>– polaganje posmrtnih ostataka u grobno mjesto.</w:t>
      </w:r>
      <w:r>
        <w:br w:type="page"/>
      </w:r>
    </w:p>
    <w:p>
      <w:pPr>
        <w:pStyle w:val="NoSpacing"/>
        <w:numPr>
          <w:ilvl w:val="0"/>
          <w:numId w:val="1"/>
        </w:numPr>
        <w:jc w:val="both"/>
        <w:rPr>
          <w:rFonts w:ascii="Arial" w:hAnsi="Arial" w:cs="Arial"/>
          <w:sz w:val="24"/>
          <w:szCs w:val="24"/>
        </w:rPr>
      </w:pPr>
      <w:r>
        <w:rPr>
          <w:rFonts w:cs="Arial" w:ascii="Arial" w:hAnsi="Arial"/>
          <w:b/>
          <w:sz w:val="24"/>
          <w:szCs w:val="24"/>
        </w:rPr>
        <w:t xml:space="preserve">Ceremonija pogreba </w:t>
      </w:r>
      <w:r>
        <w:rPr>
          <w:rFonts w:cs="Arial" w:ascii="Arial" w:hAnsi="Arial"/>
          <w:sz w:val="24"/>
          <w:szCs w:val="24"/>
        </w:rPr>
        <w:t>– posljednji ispraćaj pokojnika koji započinje izlaskom iz mrtvačnice, a završava ukopom u grobno mjesto</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Izjava o odricanju grobnog mjesta u korist Isporučitelja </w:t>
      </w:r>
      <w:r>
        <w:rPr>
          <w:rFonts w:cs="Arial" w:ascii="Arial" w:hAnsi="Arial"/>
          <w:sz w:val="24"/>
          <w:szCs w:val="24"/>
        </w:rPr>
        <w:t>– izjava kojom se Korisnik odriče grobnog mjesta, odnosno besplatno prenosi pravo korištenja na Isporučitelja.</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Potvrda o korištenju grobnog mjesta </w:t>
      </w:r>
      <w:r>
        <w:rPr>
          <w:rFonts w:cs="Arial" w:ascii="Arial" w:hAnsi="Arial"/>
          <w:sz w:val="24"/>
          <w:szCs w:val="24"/>
        </w:rPr>
        <w:t>– potvrda koju izdaje Isporučitelj u svrhu provođenja ostavinskog postupka nakon smrti Korisnika grobnog mjesta.</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Dozvola za izgradnju grobnice, groba sa okvirom ili adaptaciju grobnog mjesta </w:t>
      </w:r>
      <w:r>
        <w:rPr>
          <w:rFonts w:cs="Arial" w:ascii="Arial" w:hAnsi="Arial"/>
          <w:sz w:val="24"/>
          <w:szCs w:val="24"/>
        </w:rPr>
        <w:t>– zahtjev koji podnosi Korisnik grobnog mjesta ukoliko ima namjeru izgrađivati grobno mjesto.</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Pravo korištenja </w:t>
      </w:r>
      <w:r>
        <w:rPr>
          <w:rFonts w:cs="Arial" w:ascii="Arial" w:hAnsi="Arial"/>
          <w:sz w:val="24"/>
          <w:szCs w:val="24"/>
        </w:rPr>
        <w:t>– šire je od prava ukopa, a obuhvaća pravo ukopa i pravo raspolaganja grobnim mjestom.</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Rješenje o nasljeđivanju </w:t>
      </w:r>
      <w:r>
        <w:rPr>
          <w:rFonts w:cs="Arial" w:ascii="Arial" w:hAnsi="Arial"/>
          <w:sz w:val="24"/>
          <w:szCs w:val="24"/>
        </w:rPr>
        <w:t>– rješenje koje donosi Općinski sud ili javni bilježnik u ostavinskom postupku nakon smrti Korisnika grobnog mjesta i koje je između ostalog mjerodavno za prijenos prava korištenja grobnog mjesta sa Korisnika na nasljednika.</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Rješenje o pravu korištenja grobnog mjesta </w:t>
      </w:r>
      <w:r>
        <w:rPr>
          <w:rFonts w:cs="Arial" w:ascii="Arial" w:hAnsi="Arial"/>
          <w:sz w:val="24"/>
          <w:szCs w:val="24"/>
        </w:rPr>
        <w:t>– rješenje kojim korisnik ima pravo na grobno mjesto, a nakon smrti Korisnika grobnog mjesta po rješenju o nasljeđivanju ili podnošenjem zahtjeva o odricanju grobnog mjesta u korist treće osobe.</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Rješenje o dodjeli grobnog mjesta </w:t>
      </w:r>
      <w:r>
        <w:rPr>
          <w:rFonts w:cs="Arial" w:ascii="Arial" w:hAnsi="Arial"/>
          <w:sz w:val="24"/>
          <w:szCs w:val="24"/>
        </w:rPr>
        <w:t>– rješenje koje se dodjeljuje Korisniku u slučaju smrti člana obitelji, a nije imao ranije grobno mjesto te u slučaju dodjele grobnog mjesta od strane Uprave groblja po zahtjevu Korisnika.</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Ugovor o ustupanju grobnog mjesta </w:t>
      </w:r>
      <w:r>
        <w:rPr>
          <w:rFonts w:cs="Arial" w:ascii="Arial" w:hAnsi="Arial"/>
          <w:sz w:val="24"/>
          <w:szCs w:val="24"/>
        </w:rPr>
        <w:t>– ugovor u pisanom obliku ovjeren kod javnog bilježnika kojim Korisnik grobnog mjesta pravo korištenja grobnog mjesta prenosi na treću osobu ili u korist Isporučitelja.</w:t>
      </w:r>
    </w:p>
    <w:p>
      <w:pPr>
        <w:pStyle w:val="ListParagraph"/>
        <w:spacing w:before="0" w:after="0"/>
        <w:contextualSpacing/>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sz w:val="24"/>
          <w:szCs w:val="24"/>
        </w:rPr>
      </w:pPr>
      <w:r>
        <w:rPr>
          <w:rFonts w:cs="Arial" w:ascii="Arial" w:hAnsi="Arial"/>
          <w:b/>
          <w:sz w:val="24"/>
          <w:szCs w:val="24"/>
        </w:rPr>
        <w:t xml:space="preserve">Održavanje groblja </w:t>
      </w:r>
      <w:r>
        <w:rPr>
          <w:rFonts w:cs="Arial" w:ascii="Arial" w:hAnsi="Arial"/>
          <w:sz w:val="24"/>
          <w:szCs w:val="24"/>
        </w:rPr>
        <w:t>– uređenje i održavanje prostora i zgrada za obavljanje ispraćaja i ukopa umrlih, održavanje uređaja i instalacija, uređenje i održavanje zelenih površina na grobljima, čišćenje groblja i zbrinjavanje otpada, kao i provođenje ostalih radova na grobljima.</w:t>
      </w:r>
    </w:p>
    <w:p>
      <w:pPr>
        <w:pStyle w:val="NoSpacing"/>
        <w:jc w:val="both"/>
        <w:rPr>
          <w:rFonts w:ascii="Arial" w:hAnsi="Arial" w:cs="Arial"/>
          <w:sz w:val="24"/>
          <w:szCs w:val="24"/>
        </w:rPr>
      </w:pPr>
      <w:r>
        <w:rPr>
          <w:rFonts w:cs="Arial" w:ascii="Arial" w:hAnsi="Arial"/>
          <w:sz w:val="24"/>
          <w:szCs w:val="24"/>
        </w:rPr>
      </w:r>
    </w:p>
    <w:p>
      <w:pPr>
        <w:pStyle w:val="Normal"/>
        <w:rPr>
          <w:rFonts w:ascii="Arial" w:hAnsi="Arial" w:eastAsia="Calibri" w:cs="Arial" w:eastAsiaTheme="minorHAnsi"/>
          <w:b/>
          <w:b/>
          <w:sz w:val="24"/>
          <w:szCs w:val="24"/>
        </w:rPr>
      </w:pPr>
      <w:r>
        <w:rPr>
          <w:rFonts w:eastAsia="Calibri" w:cs="Arial" w:eastAsiaTheme="minorHAnsi" w:ascii="Arial" w:hAnsi="Arial"/>
          <w:b/>
          <w:sz w:val="24"/>
          <w:szCs w:val="24"/>
        </w:rPr>
      </w:r>
      <w:r>
        <w:br w:type="page"/>
      </w:r>
    </w:p>
    <w:p>
      <w:pPr>
        <w:pStyle w:val="NoSpacing"/>
        <w:jc w:val="center"/>
        <w:rPr>
          <w:rFonts w:ascii="Arial" w:hAnsi="Arial" w:cs="Arial"/>
          <w:b/>
          <w:b/>
          <w:sz w:val="24"/>
          <w:szCs w:val="24"/>
        </w:rPr>
      </w:pPr>
      <w:r>
        <w:rPr>
          <w:rFonts w:cs="Arial" w:ascii="Arial" w:hAnsi="Arial"/>
          <w:b/>
          <w:sz w:val="24"/>
          <w:szCs w:val="24"/>
        </w:rPr>
        <w:t>III UGOVORNI ODNOSI IZMEĐU ISPORUČITELJA I KORISNIKA</w:t>
      </w:r>
    </w:p>
    <w:p>
      <w:pPr>
        <w:pStyle w:val="NoSpacing"/>
        <w:jc w:val="center"/>
        <w:rPr>
          <w:rFonts w:ascii="Arial" w:hAnsi="Arial" w:cs="Arial"/>
          <w:b/>
          <w:b/>
          <w:sz w:val="24"/>
          <w:szCs w:val="24"/>
        </w:rPr>
      </w:pPr>
      <w:r>
        <w:rPr>
          <w:rFonts w:cs="Arial" w:ascii="Arial" w:hAnsi="Arial"/>
          <w:b/>
          <w:sz w:val="24"/>
          <w:szCs w:val="24"/>
        </w:rPr>
      </w:r>
    </w:p>
    <w:p>
      <w:pPr>
        <w:pStyle w:val="NoSpacing"/>
        <w:jc w:val="center"/>
        <w:rPr>
          <w:rFonts w:ascii="Arial" w:hAnsi="Arial" w:cs="Arial"/>
          <w:b/>
          <w:b/>
          <w:sz w:val="24"/>
          <w:szCs w:val="24"/>
        </w:rPr>
      </w:pPr>
      <w:r>
        <w:rPr>
          <w:rFonts w:cs="Arial" w:ascii="Arial" w:hAnsi="Arial"/>
          <w:b/>
          <w:sz w:val="24"/>
          <w:szCs w:val="24"/>
        </w:rPr>
        <w:t>Članak 3.</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Ponuda za grobljanske usluge i dr. sastavlja (napisana) se od strane Isporučitelja, na temelju traženja Korisnika usluge.</w:t>
      </w:r>
    </w:p>
    <w:p>
      <w:pPr>
        <w:pStyle w:val="Normal"/>
        <w:spacing w:lineRule="auto" w:line="259" w:before="0" w:after="0"/>
        <w:jc w:val="both"/>
        <w:rPr>
          <w:rFonts w:ascii="Arial" w:hAnsi="Arial" w:cs="Arial"/>
          <w:sz w:val="24"/>
          <w:szCs w:val="24"/>
        </w:rPr>
      </w:pPr>
      <w:r>
        <w:rPr>
          <w:rFonts w:cs="Arial" w:ascii="Arial" w:hAnsi="Arial"/>
          <w:sz w:val="24"/>
          <w:szCs w:val="24"/>
        </w:rPr>
        <w:t>Potpisom ponude za grobljanske usluge i dr. od strane Korisnika smatra se kako je Korisnik prihvatio ponudu čime se Ugovor o grobljanskoj usluzi i dr. smatra zaključenim.</w:t>
      </w:r>
    </w:p>
    <w:p>
      <w:pPr>
        <w:pStyle w:val="NoSpacing"/>
        <w:jc w:val="both"/>
        <w:rPr>
          <w:rFonts w:ascii="Arial" w:hAnsi="Arial" w:cs="Arial"/>
          <w:sz w:val="24"/>
          <w:szCs w:val="24"/>
        </w:rPr>
      </w:pPr>
      <w:r>
        <w:rPr>
          <w:rFonts w:cs="Arial" w:ascii="Arial" w:hAnsi="Arial"/>
          <w:sz w:val="24"/>
          <w:szCs w:val="24"/>
        </w:rPr>
        <w:t>Nakon isporučene grobljanske usluge i dr. Korisnik je dužan istu platiti temeljem ispostavljenog računa.</w:t>
      </w:r>
    </w:p>
    <w:p>
      <w:pPr>
        <w:pStyle w:val="NoSpacing"/>
        <w:jc w:val="both"/>
        <w:rPr>
          <w:rFonts w:ascii="Arial" w:hAnsi="Arial" w:cs="Arial"/>
          <w:sz w:val="24"/>
          <w:szCs w:val="24"/>
        </w:rPr>
      </w:pPr>
      <w:r>
        <w:rPr>
          <w:rFonts w:cs="Arial" w:ascii="Arial" w:hAnsi="Arial"/>
          <w:sz w:val="24"/>
          <w:szCs w:val="24"/>
        </w:rPr>
        <w:t>Grobljanske usluge i dr. isporučuju se na neodređeno vrijeme.</w:t>
      </w:r>
    </w:p>
    <w:p>
      <w:pPr>
        <w:pStyle w:val="NoSpacing"/>
        <w:jc w:val="both"/>
        <w:rPr>
          <w:rFonts w:ascii="Arial" w:hAnsi="Arial" w:cs="Arial"/>
          <w:sz w:val="24"/>
          <w:szCs w:val="24"/>
        </w:rPr>
      </w:pPr>
      <w:r>
        <w:rPr>
          <w:rFonts w:cs="Arial" w:ascii="Arial" w:hAnsi="Arial"/>
          <w:sz w:val="24"/>
          <w:szCs w:val="24"/>
        </w:rPr>
        <w:t>Potpisom ponude za grobljanske usluge i dr. Korisnik u svemu prihvaća ove Opće uvjete.</w:t>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IV PRAVA I OBVEZE ISPORUČITELJA</w:t>
      </w:r>
    </w:p>
    <w:p>
      <w:pPr>
        <w:pStyle w:val="NoSpacing"/>
        <w:jc w:val="center"/>
        <w:rPr>
          <w:rFonts w:ascii="Arial" w:hAnsi="Arial" w:cs="Arial"/>
          <w:b/>
          <w:b/>
          <w:sz w:val="24"/>
          <w:szCs w:val="24"/>
        </w:rPr>
      </w:pPr>
      <w:r>
        <w:rPr>
          <w:rFonts w:cs="Arial" w:ascii="Arial" w:hAnsi="Arial"/>
          <w:b/>
          <w:sz w:val="24"/>
          <w:szCs w:val="24"/>
        </w:rPr>
      </w:r>
    </w:p>
    <w:p>
      <w:pPr>
        <w:pStyle w:val="NoSpacing"/>
        <w:jc w:val="center"/>
        <w:rPr>
          <w:rFonts w:ascii="Arial" w:hAnsi="Arial" w:cs="Arial"/>
          <w:b/>
          <w:b/>
          <w:sz w:val="24"/>
          <w:szCs w:val="24"/>
        </w:rPr>
      </w:pPr>
      <w:r>
        <w:rPr>
          <w:rFonts w:cs="Arial" w:ascii="Arial" w:hAnsi="Arial"/>
          <w:b/>
          <w:sz w:val="24"/>
          <w:szCs w:val="24"/>
        </w:rPr>
        <w:t>Članak 4.</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Prava i obveze regulirane su Zakonom o grobljima (N.N. 19/98, 50/12, 89/17), Pravilnikom o grobljima (N.N. 99/02), Odlukom o načinu, uvjetima i organizaciji upravljanja i održavanja groblja na području Grada Ivanić-Grada (Službeni glasnik Grada Ivanić-Grada 02/14) i ostalim zakonskim propisima iz ove djelatnosti.</w:t>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Članak 5.</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Uprava groblja dužna je grobljem upravljati pažnjom dobrog gospodara, a na način kojim se iskazuje poštovanje prema umrlim osobama koje u njemu počivaju.</w:t>
      </w:r>
    </w:p>
    <w:p>
      <w:pPr>
        <w:pStyle w:val="NoSpacing"/>
        <w:jc w:val="both"/>
        <w:rPr>
          <w:rFonts w:ascii="Arial" w:hAnsi="Arial" w:cs="Arial"/>
          <w:sz w:val="24"/>
          <w:szCs w:val="24"/>
        </w:rPr>
      </w:pPr>
      <w:r>
        <w:rPr>
          <w:rFonts w:cs="Arial" w:ascii="Arial" w:hAnsi="Arial"/>
          <w:sz w:val="24"/>
          <w:szCs w:val="24"/>
        </w:rPr>
        <w:t>Održavanje groblja provodi se sukladno potrebama, a na način da se osigura održavanje groblja urednim i primjerenim njegovoj namjeni, pri čemu treba voditi računa o zaštiti okoliša, a osobito o krajobraznim i estetskim vrijednostima.</w:t>
      </w:r>
    </w:p>
    <w:p>
      <w:pPr>
        <w:pStyle w:val="NoSpacing"/>
        <w:jc w:val="both"/>
        <w:rPr>
          <w:rFonts w:ascii="Arial" w:hAnsi="Arial" w:cs="Arial"/>
          <w:sz w:val="24"/>
          <w:szCs w:val="24"/>
        </w:rPr>
      </w:pPr>
      <w:r>
        <w:rPr>
          <w:rFonts w:cs="Arial" w:ascii="Arial" w:hAnsi="Arial"/>
          <w:sz w:val="24"/>
          <w:szCs w:val="24"/>
        </w:rPr>
        <w:t>Na grobljima iz članka 1. ovih Općih uvjeta, u pravilu se ukapaju umrli koji imaju prebivalište na području Grada Ivanić-Grada.</w:t>
      </w:r>
    </w:p>
    <w:p>
      <w:pPr>
        <w:pStyle w:val="NoSpacing"/>
        <w:jc w:val="both"/>
        <w:rPr>
          <w:rFonts w:ascii="Arial" w:hAnsi="Arial" w:cs="Arial"/>
          <w:sz w:val="24"/>
          <w:szCs w:val="24"/>
        </w:rPr>
      </w:pPr>
      <w:r>
        <w:rPr>
          <w:rFonts w:cs="Arial" w:ascii="Arial" w:hAnsi="Arial"/>
          <w:sz w:val="24"/>
          <w:szCs w:val="24"/>
        </w:rPr>
        <w:t>Obavljanje ukopa odnosno pripremu grobnog mjesta i uređenje grobnog mjesta nakon ukopa obavlja Uprava groblja.</w:t>
      </w:r>
    </w:p>
    <w:p>
      <w:pPr>
        <w:pStyle w:val="NoSpacing"/>
        <w:jc w:val="both"/>
        <w:rPr>
          <w:rFonts w:ascii="Arial" w:hAnsi="Arial" w:cs="Arial"/>
          <w:sz w:val="24"/>
          <w:szCs w:val="24"/>
        </w:rPr>
      </w:pPr>
      <w:r>
        <w:rPr>
          <w:rFonts w:cs="Arial" w:ascii="Arial" w:hAnsi="Arial"/>
          <w:sz w:val="24"/>
          <w:szCs w:val="24"/>
        </w:rPr>
        <w:t>Pod pripremom podrazumijeva se micanje grobne ploče, iskop rake, zatrpavanje rake, vraćanje ploče, uklanjanje vijenaca i cvijeća, formiranje grobne humke nakon slijeganja zemlje.</w:t>
      </w:r>
    </w:p>
    <w:p>
      <w:pPr>
        <w:pStyle w:val="NoSpacing"/>
        <w:jc w:val="both"/>
        <w:rPr>
          <w:rFonts w:ascii="Arial" w:hAnsi="Arial" w:cs="Arial"/>
          <w:sz w:val="24"/>
          <w:szCs w:val="24"/>
        </w:rPr>
      </w:pPr>
      <w:r>
        <w:rPr>
          <w:rFonts w:cs="Arial" w:ascii="Arial" w:hAnsi="Arial"/>
          <w:sz w:val="24"/>
          <w:szCs w:val="24"/>
        </w:rPr>
        <w:t>Kod polaganja urne podrazumijeva se micanje ploče, vraćanje iste te uklanjanje vijenaca i cvijeća.</w:t>
      </w:r>
    </w:p>
    <w:p>
      <w:pPr>
        <w:pStyle w:val="NoSpacing"/>
        <w:jc w:val="both"/>
        <w:rPr>
          <w:rFonts w:ascii="Arial" w:hAnsi="Arial" w:cs="Arial"/>
          <w:sz w:val="24"/>
          <w:szCs w:val="24"/>
        </w:rPr>
      </w:pPr>
      <w:r>
        <w:rPr>
          <w:rFonts w:cs="Arial" w:ascii="Arial" w:hAnsi="Arial"/>
          <w:sz w:val="24"/>
          <w:szCs w:val="24"/>
        </w:rPr>
        <w:t>Ukoliko se ukop obavlja u grobnicu, Korisnik je dužan osigurati dvostruki lijes, unutarnji limeni i vanjski drveni.</w:t>
      </w:r>
    </w:p>
    <w:p>
      <w:pPr>
        <w:pStyle w:val="NoSpacing"/>
        <w:jc w:val="both"/>
        <w:rPr>
          <w:rFonts w:ascii="Arial" w:hAnsi="Arial" w:cs="Arial"/>
          <w:sz w:val="24"/>
          <w:szCs w:val="24"/>
        </w:rPr>
      </w:pPr>
      <w:r>
        <w:rPr>
          <w:rFonts w:cs="Arial" w:ascii="Arial" w:hAnsi="Arial"/>
          <w:sz w:val="24"/>
          <w:szCs w:val="24"/>
        </w:rPr>
        <w:t>Isporučitelj nije odgovoran za nastalu štetu na grobnom mjestu, ako za to nema dokaza.</w:t>
      </w:r>
    </w:p>
    <w:p>
      <w:pPr>
        <w:pStyle w:val="NoSpacing"/>
        <w:jc w:val="both"/>
        <w:rPr>
          <w:rFonts w:ascii="Arial" w:hAnsi="Arial" w:cs="Arial"/>
          <w:b/>
          <w:b/>
          <w:sz w:val="24"/>
          <w:szCs w:val="24"/>
        </w:rPr>
      </w:pPr>
      <w:r>
        <w:rPr>
          <w:rFonts w:cs="Arial" w:ascii="Arial" w:hAnsi="Arial"/>
          <w:b/>
          <w:sz w:val="24"/>
          <w:szCs w:val="24"/>
        </w:rPr>
      </w:r>
    </w:p>
    <w:p>
      <w:pPr>
        <w:pStyle w:val="NoSpacing"/>
        <w:jc w:val="center"/>
        <w:rPr>
          <w:rFonts w:ascii="Arial" w:hAnsi="Arial" w:cs="Arial"/>
          <w:b/>
          <w:b/>
          <w:sz w:val="24"/>
          <w:szCs w:val="24"/>
        </w:rPr>
      </w:pPr>
      <w:r>
        <w:rPr>
          <w:rFonts w:cs="Arial" w:ascii="Arial" w:hAnsi="Arial"/>
          <w:b/>
          <w:sz w:val="24"/>
          <w:szCs w:val="24"/>
        </w:rPr>
        <w:t>Članak 6.</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Isporučitelj vodi Grobni očevidnik i registar umrlih osoba sukladno Pravilniku o vođenju grobnog očevidnika i registra umrlih osoba (N.N. 143/98).</w:t>
      </w:r>
    </w:p>
    <w:p>
      <w:pPr>
        <w:pStyle w:val="Normal"/>
        <w:rPr>
          <w:rFonts w:ascii="Arial" w:hAnsi="Arial" w:eastAsia="Calibri" w:cs="Arial" w:eastAsiaTheme="minorHAnsi"/>
          <w:b/>
          <w:b/>
          <w:sz w:val="24"/>
          <w:szCs w:val="24"/>
        </w:rPr>
      </w:pPr>
      <w:r>
        <w:rPr>
          <w:rFonts w:eastAsia="Calibri" w:cs="Arial" w:eastAsiaTheme="minorHAnsi" w:ascii="Arial" w:hAnsi="Arial"/>
          <w:b/>
          <w:sz w:val="24"/>
          <w:szCs w:val="24"/>
        </w:rPr>
      </w:r>
      <w:r>
        <w:br w:type="page"/>
      </w:r>
    </w:p>
    <w:p>
      <w:pPr>
        <w:pStyle w:val="NoSpacing"/>
        <w:jc w:val="center"/>
        <w:rPr>
          <w:rFonts w:ascii="Arial" w:hAnsi="Arial" w:cs="Arial"/>
          <w:b/>
          <w:b/>
          <w:sz w:val="24"/>
          <w:szCs w:val="24"/>
        </w:rPr>
      </w:pPr>
      <w:r>
        <w:rPr>
          <w:rFonts w:cs="Arial" w:ascii="Arial" w:hAnsi="Arial"/>
          <w:b/>
          <w:sz w:val="24"/>
          <w:szCs w:val="24"/>
        </w:rPr>
        <w:t>Članak 7.</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Ekshumacija i prijenos posmrtnih ostataka obavlja se sukladno Pravilniku o uvjetima i načinu obavljanja prijenosa, pogreba i iskopavanja umrlih osoba (N.N.23/94).</w:t>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Članak 8.</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Prijava za ukop može se obaviti svakog radnog dana od 7 do 15 sati na telefon 01/2831-054 ili na broj mobitela 099 8080 320. Za prijave koje se zaprime petkom iza 15 sati, vikendom i u neradne dane i blagdane, pogreb će se obaviti prvog radnog dana nakon prijave. Subota je neradni dan, te ako osoba umre u četvrtak Uprava groblja će po zahtjevu člana obitelji izvršiti ukop u subotu.</w:t>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Članak 9.</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Svi dogovori u vezi ukopa (lokacija grobnog mjesta, način ukopa) dogovaraju se s Isporučiteljem dan prije ili na dan pogreba u radno vrijeme od 7 do 15 sati.</w:t>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Članak 10.</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Isporučitelj nakon obavljene usluge izdaje račun za iskop jame - zatrpavanje, korištenje mrtvačnice te micanje i vračanje grobne ploče, ako je Korisnik ima, a prema cjeniku usluga.</w:t>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Članak 11.</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Način prodaje grobnih mjesta određuje Isporučitelj. Grobno mjesto se dodjeljuje kada nastane potreba za ukopom pokojnika ili neovisno o ukopu ukoliko postoji dovoljno mjesta na određenom groblju, izuzev gradskih groblja; Centar, Šarampov Gornji i Poljana, gdje više nema mjesta za dodjelu, osim kada nastupi smrt.</w:t>
      </w:r>
    </w:p>
    <w:p>
      <w:pPr>
        <w:pStyle w:val="NoSpacing"/>
        <w:jc w:val="both"/>
        <w:rPr>
          <w:rFonts w:ascii="Arial" w:hAnsi="Arial" w:cs="Arial"/>
          <w:sz w:val="24"/>
          <w:szCs w:val="24"/>
        </w:rPr>
      </w:pPr>
      <w:r>
        <w:rPr>
          <w:rFonts w:cs="Arial" w:ascii="Arial" w:hAnsi="Arial"/>
          <w:sz w:val="24"/>
          <w:szCs w:val="24"/>
        </w:rPr>
        <w:t>Grobna mjesta dodjeljuju se prema planu i rasporedu slobodnih mjesta i vremenskim razmacima ukopa prilikom ukopa u postojeća grobna mjesta.</w:t>
      </w:r>
    </w:p>
    <w:p>
      <w:pPr>
        <w:pStyle w:val="NoSpacing"/>
        <w:jc w:val="both"/>
        <w:rPr>
          <w:rFonts w:ascii="Arial" w:hAnsi="Arial" w:cs="Arial"/>
          <w:sz w:val="24"/>
          <w:szCs w:val="24"/>
        </w:rPr>
      </w:pPr>
      <w:r>
        <w:rPr>
          <w:rFonts w:cs="Arial" w:ascii="Arial" w:hAnsi="Arial"/>
          <w:sz w:val="24"/>
          <w:szCs w:val="24"/>
        </w:rPr>
        <w:t xml:space="preserve">Pojedinačni grob, obiteljski grob i grob za polaganje urni neće se dodijeliti na korištenje osobi koja na jednom od groblja navedenih u Članku 1. već koristi, a koji nisu popunjeni i u koje umrli ima pravo ukopa. </w:t>
      </w:r>
    </w:p>
    <w:p>
      <w:pPr>
        <w:pStyle w:val="NoSpacing"/>
        <w:jc w:val="both"/>
        <w:rPr>
          <w:rFonts w:ascii="Arial" w:hAnsi="Arial" w:cs="Arial"/>
          <w:sz w:val="24"/>
          <w:szCs w:val="24"/>
        </w:rPr>
      </w:pPr>
      <w:r>
        <w:rPr>
          <w:rFonts w:cs="Arial" w:ascii="Arial" w:hAnsi="Arial"/>
          <w:sz w:val="24"/>
          <w:szCs w:val="24"/>
        </w:rPr>
        <w:t>Uprava groblja grobno mjesto dodjeljuje korisniku na osnovi korisnikovog zahtjeva koji se podnosi Upravi groblja.</w:t>
      </w:r>
    </w:p>
    <w:p>
      <w:pPr>
        <w:pStyle w:val="NoSpacing"/>
        <w:jc w:val="both"/>
        <w:rPr>
          <w:rFonts w:ascii="Arial" w:hAnsi="Arial" w:cs="Arial"/>
          <w:sz w:val="24"/>
          <w:szCs w:val="24"/>
        </w:rPr>
      </w:pPr>
      <w:r>
        <w:rPr>
          <w:rFonts w:cs="Arial" w:ascii="Arial" w:hAnsi="Arial"/>
          <w:sz w:val="24"/>
          <w:szCs w:val="24"/>
        </w:rPr>
        <w:t>Uprava groblja donosi rješenje kojim se korisniku dodjeljuje grobno mjesto.</w:t>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Članak 12.</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U popunjena grobna mjesta može se odobriti ukop nakon proteka petnaest godina od posljednjeg ukopa u grob, odnosno nakon proteka trideset godina od ukopa u grobnicu.</w:t>
      </w:r>
    </w:p>
    <w:p>
      <w:pPr>
        <w:pStyle w:val="NoSpacing"/>
        <w:jc w:val="both"/>
        <w:rPr>
          <w:rFonts w:ascii="Arial" w:hAnsi="Arial" w:cs="Arial"/>
          <w:sz w:val="24"/>
          <w:szCs w:val="24"/>
        </w:rPr>
      </w:pPr>
      <w:r>
        <w:rPr>
          <w:rFonts w:cs="Arial" w:ascii="Arial" w:hAnsi="Arial"/>
          <w:sz w:val="24"/>
          <w:szCs w:val="24"/>
        </w:rPr>
        <w:t>Nepoznate osobe ili osobe bez skrbi ukopati će se na način uobičajen mjesnim prilikama, osiguravajući pri tome pristupne podatke o umrloj osobi, a ukop će se obaviti na groblju koje odredi i odluči Uprava groblja.</w:t>
      </w:r>
    </w:p>
    <w:p>
      <w:pPr>
        <w:pStyle w:val="NoSpacing"/>
        <w:jc w:val="both"/>
        <w:rPr>
          <w:rFonts w:ascii="Arial" w:hAnsi="Arial" w:cs="Arial"/>
          <w:sz w:val="24"/>
          <w:szCs w:val="24"/>
        </w:rPr>
      </w:pPr>
      <w:r>
        <w:rPr>
          <w:rFonts w:cs="Arial" w:ascii="Arial" w:hAnsi="Arial"/>
          <w:sz w:val="24"/>
          <w:szCs w:val="24"/>
        </w:rPr>
        <w:t>Isporučitelj nije odgovoran za nastalu štetu na grobnom mjestu, ako za to nema dokaza.</w:t>
      </w:r>
      <w:r>
        <w:br w:type="page"/>
      </w:r>
    </w:p>
    <w:p>
      <w:pPr>
        <w:pStyle w:val="Normal"/>
        <w:spacing w:before="0" w:after="0"/>
        <w:jc w:val="center"/>
        <w:rPr>
          <w:rFonts w:ascii="Arial" w:hAnsi="Arial" w:eastAsia="Calibri" w:cs="Arial" w:eastAsiaTheme="minorHAnsi"/>
          <w:sz w:val="24"/>
          <w:szCs w:val="24"/>
        </w:rPr>
      </w:pPr>
      <w:r>
        <w:rPr>
          <w:rFonts w:cs="Arial" w:ascii="Arial" w:hAnsi="Arial"/>
          <w:b/>
          <w:sz w:val="24"/>
          <w:szCs w:val="24"/>
        </w:rPr>
        <w:t>V PRAVA I OBVEZE KORISNIKA</w:t>
      </w:r>
    </w:p>
    <w:p>
      <w:pPr>
        <w:pStyle w:val="NoSpacing"/>
        <w:jc w:val="both"/>
        <w:rPr>
          <w:rFonts w:ascii="Arial" w:hAnsi="Arial" w:cs="Arial"/>
          <w:b/>
          <w:b/>
          <w:sz w:val="24"/>
          <w:szCs w:val="24"/>
        </w:rPr>
      </w:pPr>
      <w:r>
        <w:rPr>
          <w:rFonts w:cs="Arial" w:ascii="Arial" w:hAnsi="Arial"/>
          <w:b/>
          <w:sz w:val="24"/>
          <w:szCs w:val="24"/>
        </w:rPr>
      </w:r>
    </w:p>
    <w:p>
      <w:pPr>
        <w:pStyle w:val="NoSpacing"/>
        <w:jc w:val="center"/>
        <w:rPr>
          <w:rFonts w:ascii="Arial" w:hAnsi="Arial" w:cs="Arial"/>
          <w:b/>
          <w:b/>
          <w:sz w:val="24"/>
          <w:szCs w:val="24"/>
        </w:rPr>
      </w:pPr>
      <w:r>
        <w:rPr>
          <w:rFonts w:cs="Arial" w:ascii="Arial" w:hAnsi="Arial"/>
          <w:b/>
          <w:sz w:val="24"/>
          <w:szCs w:val="24"/>
        </w:rPr>
        <w:t>Članak 13.</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Obveza korištenja grobljanske usluge započinje trenutkom stjecanja prava korištenja dodjelom grobnog mjesta na korištenje ili prenošenjem prava korištenja grobnog mjesta nakon smrti Korisnika na nasljednika Rješenjem o nasljeđivanju, kao i prenošenjem prava korištenja Ugovorom o ustupanju grobnog mjesta Isporučitelju ili u korist treće osobe.</w:t>
      </w:r>
    </w:p>
    <w:p>
      <w:pPr>
        <w:pStyle w:val="NoSpacing"/>
        <w:jc w:val="both"/>
        <w:rPr>
          <w:rFonts w:ascii="Arial" w:hAnsi="Arial" w:cs="Arial"/>
          <w:sz w:val="24"/>
          <w:szCs w:val="24"/>
        </w:rPr>
      </w:pPr>
      <w:r>
        <w:rPr>
          <w:rFonts w:cs="Arial" w:ascii="Arial" w:hAnsi="Arial"/>
          <w:sz w:val="24"/>
          <w:szCs w:val="24"/>
        </w:rPr>
        <w:t>Dan stjecanja pravomoćnosti Rješenja o nasljeđivanju, kao i dan potpisa Ugovora o ustupanju grobnog mjesta trećim osobama ili Isporučitelju smatraju se danom prenošenja prava korištenja na novog Korisnika.</w:t>
      </w:r>
    </w:p>
    <w:p>
      <w:pPr>
        <w:pStyle w:val="NoSpacing"/>
        <w:jc w:val="both"/>
        <w:rPr>
          <w:rFonts w:ascii="Arial" w:hAnsi="Arial" w:cs="Arial"/>
          <w:sz w:val="24"/>
          <w:szCs w:val="24"/>
        </w:rPr>
      </w:pPr>
      <w:r>
        <w:rPr>
          <w:rFonts w:cs="Arial" w:ascii="Arial" w:hAnsi="Arial"/>
          <w:sz w:val="24"/>
          <w:szCs w:val="24"/>
        </w:rPr>
        <w:t>Korisnici su obvezni u roku od 30 dana dostaviti Isporučitelju presliku Rješenja o nasljeđivanju ili Ugovora o ustupanju grobnog mjesta, kao i sve promjene koje se odnose na adrese na koju se šalju računi i druge relevantne podatke koji utječu na međusobne odnose u isporuci i korištenju usluge.</w:t>
      </w:r>
    </w:p>
    <w:p>
      <w:pPr>
        <w:pStyle w:val="NoSpacing"/>
        <w:jc w:val="both"/>
        <w:rPr>
          <w:rFonts w:ascii="Arial" w:hAnsi="Arial" w:cs="Arial"/>
          <w:sz w:val="24"/>
          <w:szCs w:val="24"/>
        </w:rPr>
      </w:pPr>
      <w:r>
        <w:rPr>
          <w:rFonts w:cs="Arial" w:ascii="Arial" w:hAnsi="Arial"/>
          <w:sz w:val="24"/>
          <w:szCs w:val="24"/>
        </w:rPr>
        <w:t>Nasljednici mogu dogovorno promijeniti nositelja zaduženja uz ovjerenu izjavu kod javnog bilježnika.</w:t>
      </w:r>
    </w:p>
    <w:p>
      <w:pPr>
        <w:pStyle w:val="NoSpacing"/>
        <w:jc w:val="both"/>
        <w:rPr>
          <w:rFonts w:ascii="Arial" w:hAnsi="Arial" w:cs="Arial"/>
          <w:color w:val="000000" w:themeColor="text1"/>
          <w:sz w:val="24"/>
          <w:szCs w:val="24"/>
        </w:rPr>
      </w:pPr>
      <w:r>
        <w:rPr>
          <w:rFonts w:cs="Arial" w:ascii="Arial" w:hAnsi="Arial"/>
          <w:color w:val="000000" w:themeColor="text1"/>
          <w:sz w:val="24"/>
          <w:szCs w:val="24"/>
        </w:rPr>
        <w:t>Da bi se mogao izvršiti prijenos prava korištenja grobnog mjesta trećoj osobi, za predmetno grobno mjesto potrebno je prethodno podmiriti sva dugovanja, ukoliko postoje (dug za grobnu naknadu, troškove ukopa, izdavanje dozvole za radove i ostale troškove).</w:t>
      </w:r>
    </w:p>
    <w:p>
      <w:pPr>
        <w:pStyle w:val="NoSpacing"/>
        <w:jc w:val="both"/>
        <w:rPr>
          <w:rFonts w:ascii="Arial" w:hAnsi="Arial" w:cs="Arial"/>
          <w:color w:val="000000" w:themeColor="text1"/>
          <w:sz w:val="24"/>
          <w:szCs w:val="24"/>
        </w:rPr>
      </w:pPr>
      <w:r>
        <w:rPr>
          <w:rFonts w:cs="Arial" w:ascii="Arial" w:hAnsi="Arial"/>
          <w:color w:val="000000" w:themeColor="text1"/>
          <w:sz w:val="24"/>
          <w:szCs w:val="24"/>
        </w:rPr>
        <w:t>Korisnici grobnih mjesta su dužni grobna mjesta koja koriste uređivati na primjeren način, te održavati red i čistoću na način da ne oštete susjedna grobna mjesta.</w:t>
      </w:r>
    </w:p>
    <w:p>
      <w:pPr>
        <w:pStyle w:val="NoSpacing"/>
        <w:jc w:val="both"/>
        <w:rPr>
          <w:rFonts w:ascii="Arial" w:hAnsi="Arial" w:cs="Arial"/>
          <w:color w:val="000000" w:themeColor="text1"/>
          <w:sz w:val="24"/>
          <w:szCs w:val="24"/>
        </w:rPr>
      </w:pPr>
      <w:r>
        <w:rPr>
          <w:rFonts w:cs="Arial" w:ascii="Arial" w:hAnsi="Arial"/>
          <w:color w:val="000000" w:themeColor="text1"/>
          <w:sz w:val="24"/>
          <w:szCs w:val="24"/>
        </w:rPr>
        <w:t>Svaki grob odnosno grobno mjesto Korisnik mora označiti prikladnim nadgrobnim znakom, s vidljivom oznakom imena i prezimena ukopane osobe.</w:t>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Članak 14.</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Korisnik je obvezan pravodobno prijaviti i ispuniti Prijavu za izgradnju grobnice, groba s okvirom ili adaptaciju grobnog mjesta ukoliko ima namjeru obaviti bilo kakve promjene na uređenju i izgradnji grobnog mjesta.</w:t>
      </w:r>
    </w:p>
    <w:p>
      <w:pPr>
        <w:pStyle w:val="NoSpacing"/>
        <w:jc w:val="both"/>
        <w:rPr>
          <w:rFonts w:ascii="Arial" w:hAnsi="Arial" w:cs="Arial"/>
          <w:sz w:val="24"/>
          <w:szCs w:val="24"/>
        </w:rPr>
      </w:pPr>
      <w:r>
        <w:rPr>
          <w:rFonts w:cs="Arial" w:ascii="Arial" w:hAnsi="Arial"/>
          <w:sz w:val="24"/>
          <w:szCs w:val="24"/>
        </w:rPr>
        <w:t>Uprava groblja može zatražiti uklanjanje postavljene opreme ili uređaja groba koji su izgrađeni bez prijave, a izvođaču radova izdati pismeno upozorenje ili zabranu obavljanja djelatnosti na groblju u slučaju ponovnog izvođenja radova bez prijave.</w:t>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Članak 15.</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Sve zahtjeve Korisnik podnosi Isporučitelju u sjedištu Isporučitelja radnim danom od 7 do 15 sati.</w:t>
      </w:r>
    </w:p>
    <w:p>
      <w:pPr>
        <w:pStyle w:val="Normal"/>
        <w:spacing w:before="0" w:after="0"/>
        <w:rPr>
          <w:rFonts w:ascii="Arial" w:hAnsi="Arial" w:eastAsia="Calibri" w:cs="Arial" w:eastAsiaTheme="minorHAnsi"/>
          <w:b/>
          <w:b/>
          <w:sz w:val="24"/>
          <w:szCs w:val="24"/>
        </w:rPr>
      </w:pPr>
      <w:r>
        <w:rPr>
          <w:rFonts w:eastAsia="Calibri" w:cs="Arial" w:eastAsiaTheme="minorHAnsi" w:ascii="Arial" w:hAnsi="Arial"/>
          <w:b/>
          <w:sz w:val="24"/>
          <w:szCs w:val="24"/>
        </w:rPr>
      </w:r>
    </w:p>
    <w:p>
      <w:pPr>
        <w:pStyle w:val="NoSpacing"/>
        <w:jc w:val="center"/>
        <w:rPr>
          <w:rFonts w:ascii="Arial" w:hAnsi="Arial" w:cs="Arial"/>
          <w:b/>
          <w:b/>
          <w:sz w:val="24"/>
          <w:szCs w:val="24"/>
        </w:rPr>
      </w:pPr>
      <w:r>
        <w:rPr>
          <w:rFonts w:cs="Arial" w:ascii="Arial" w:hAnsi="Arial"/>
          <w:b/>
          <w:sz w:val="24"/>
          <w:szCs w:val="24"/>
        </w:rPr>
        <w:t>Članak 16.</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Ako se Korisnik namjerava odreći grobnog mjesta u korist Isporučitelja, dužan je dati pismenu izjavu o odricanju od grobnog mjesta u korist Isporučitelja.</w:t>
      </w:r>
    </w:p>
    <w:p>
      <w:pPr>
        <w:pStyle w:val="NoSpacing"/>
        <w:jc w:val="both"/>
        <w:rPr>
          <w:rFonts w:ascii="Arial" w:hAnsi="Arial" w:cs="Arial"/>
          <w:sz w:val="24"/>
          <w:szCs w:val="24"/>
        </w:rPr>
      </w:pPr>
      <w:r>
        <w:rPr>
          <w:rFonts w:cs="Arial" w:ascii="Arial" w:hAnsi="Arial"/>
          <w:sz w:val="24"/>
          <w:szCs w:val="24"/>
        </w:rPr>
        <w:t>Grobno mjesto kojeg se Korisnik odriče u korist Isporučitelja uvesti će se u grobljansku evidenciju pod kategoriju slobodnih grobnih mjesta.</w:t>
      </w:r>
    </w:p>
    <w:p>
      <w:pPr>
        <w:pStyle w:val="Normal"/>
        <w:rPr>
          <w:rFonts w:ascii="Arial" w:hAnsi="Arial" w:cs="Arial"/>
          <w:sz w:val="24"/>
          <w:szCs w:val="24"/>
        </w:rPr>
      </w:pPr>
      <w:r>
        <w:rPr>
          <w:rFonts w:cs="Arial" w:ascii="Arial" w:hAnsi="Arial"/>
          <w:sz w:val="24"/>
          <w:szCs w:val="24"/>
        </w:rPr>
      </w:r>
      <w:r>
        <w:br w:type="page"/>
      </w:r>
    </w:p>
    <w:p>
      <w:pPr>
        <w:pStyle w:val="NoSpacing"/>
        <w:jc w:val="center"/>
        <w:rPr>
          <w:rFonts w:ascii="Arial" w:hAnsi="Arial" w:cs="Arial"/>
          <w:b/>
          <w:b/>
          <w:sz w:val="24"/>
          <w:szCs w:val="24"/>
        </w:rPr>
      </w:pPr>
      <w:r>
        <w:rPr>
          <w:rFonts w:cs="Arial" w:ascii="Arial" w:hAnsi="Arial"/>
          <w:b/>
          <w:sz w:val="24"/>
          <w:szCs w:val="24"/>
        </w:rPr>
        <w:t>Članak 17.</w:t>
      </w:r>
    </w:p>
    <w:p>
      <w:pPr>
        <w:pStyle w:val="Normal"/>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Normal"/>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Isporučitelj grobljanskih usluga se obavezuje da će sa svim prikupljenim podacima Korisnika postupati u skladu s odredbama Opće uredbe o zaštiti osobnih podataka i Zakona o provedbi Opće uredbe o zaštiti osobnih podataka te da će podatke koristiti isključivo u okviru domene obavljanja poslova za koje je zadužen te ih neće ustupati trećim osobama.</w:t>
      </w:r>
    </w:p>
    <w:p>
      <w:pPr>
        <w:pStyle w:val="Normal"/>
        <w:spacing w:lineRule="auto" w:line="240" w:before="0" w:after="0"/>
        <w:contextualSpacing/>
        <w:jc w:val="both"/>
        <w:rPr>
          <w:rFonts w:ascii="Arial" w:hAnsi="Arial" w:eastAsia="Times New Roman" w:cs="Arial"/>
          <w:color w:val="000000"/>
          <w:sz w:val="24"/>
          <w:szCs w:val="24"/>
          <w:highlight w:val="yellow"/>
          <w:lang w:eastAsia="hr-HR"/>
        </w:rPr>
      </w:pPr>
      <w:r>
        <w:rPr>
          <w:rFonts w:eastAsia="Times New Roman" w:cs="Arial" w:ascii="Arial" w:hAnsi="Arial"/>
          <w:color w:val="000000"/>
          <w:sz w:val="24"/>
          <w:szCs w:val="24"/>
          <w:highlight w:val="yellow"/>
          <w:lang w:eastAsia="hr-HR"/>
        </w:rPr>
      </w:r>
    </w:p>
    <w:p>
      <w:pPr>
        <w:pStyle w:val="NoSpacing"/>
        <w:jc w:val="center"/>
        <w:rPr>
          <w:rFonts w:ascii="Arial" w:hAnsi="Arial" w:cs="Arial"/>
          <w:b/>
          <w:b/>
          <w:sz w:val="24"/>
          <w:szCs w:val="24"/>
        </w:rPr>
      </w:pPr>
      <w:r>
        <w:rPr>
          <w:rFonts w:cs="Arial" w:ascii="Arial" w:hAnsi="Arial"/>
          <w:b/>
          <w:sz w:val="24"/>
          <w:szCs w:val="24"/>
        </w:rPr>
        <w:t>Članak 18.</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O uređenju i održavanju grobnih mjesta dužni su se brinuti Korisnici.</w:t>
      </w:r>
    </w:p>
    <w:p>
      <w:pPr>
        <w:pStyle w:val="NoSpacing"/>
        <w:jc w:val="both"/>
        <w:rPr>
          <w:rFonts w:ascii="Arial" w:hAnsi="Arial" w:cs="Arial"/>
          <w:sz w:val="24"/>
          <w:szCs w:val="24"/>
        </w:rPr>
      </w:pPr>
      <w:r>
        <w:rPr>
          <w:rFonts w:cs="Arial" w:ascii="Arial" w:hAnsi="Arial"/>
          <w:sz w:val="24"/>
          <w:szCs w:val="24"/>
        </w:rPr>
        <w:t>Kada se nadgrobni spomenici postavljaju od materijala trajne vrijednosti moraju po obliku i načinu izvedbe biti u skladu s okolinom i mjesnim običajima.</w:t>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Članak 19.</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Obavljanje ukopa odnosno pripremu grobnog mjesta i uređenje grobnog mjesta nakon ukopa obavlja Isporučitelj.</w:t>
      </w:r>
    </w:p>
    <w:p>
      <w:pPr>
        <w:pStyle w:val="NoSpacing"/>
        <w:jc w:val="both"/>
        <w:rPr>
          <w:rFonts w:ascii="Arial" w:hAnsi="Arial" w:cs="Arial"/>
          <w:sz w:val="24"/>
          <w:szCs w:val="24"/>
        </w:rPr>
      </w:pPr>
      <w:r>
        <w:rPr>
          <w:rFonts w:cs="Arial" w:ascii="Arial" w:hAnsi="Arial"/>
          <w:sz w:val="24"/>
          <w:szCs w:val="24"/>
        </w:rPr>
        <w:t>Pod pripremom podrazumijeva se micanje grobne ploče, iskop rake, zatrpavanje rake, vraćanje ploče, uklanjanje vijenaca i cvijeća, formiranje grobne humke nakon slijeganja zemlje.</w:t>
      </w:r>
    </w:p>
    <w:p>
      <w:pPr>
        <w:pStyle w:val="NoSpacing"/>
        <w:jc w:val="both"/>
        <w:rPr>
          <w:rFonts w:ascii="Arial" w:hAnsi="Arial" w:cs="Arial"/>
          <w:sz w:val="24"/>
          <w:szCs w:val="24"/>
        </w:rPr>
      </w:pPr>
      <w:r>
        <w:rPr>
          <w:rFonts w:cs="Arial" w:ascii="Arial" w:hAnsi="Arial"/>
          <w:sz w:val="24"/>
          <w:szCs w:val="24"/>
        </w:rPr>
        <w:t>Kod polaganja urne podrazumijeva se micanje ploće, vračanje iste te uklanjanje vijenaca i cvijeća.</w:t>
      </w:r>
    </w:p>
    <w:p>
      <w:pPr>
        <w:pStyle w:val="NoSpacing"/>
        <w:jc w:val="both"/>
        <w:rPr>
          <w:rFonts w:ascii="Arial" w:hAnsi="Arial" w:cs="Arial"/>
          <w:sz w:val="24"/>
          <w:szCs w:val="24"/>
        </w:rPr>
      </w:pPr>
      <w:r>
        <w:rPr>
          <w:rFonts w:cs="Arial" w:ascii="Arial" w:hAnsi="Arial"/>
          <w:sz w:val="24"/>
          <w:szCs w:val="24"/>
        </w:rPr>
        <w:t>Ukoliko se ukop obavlja u grobnicu, Korisnik je dužan osigurati dvostruki lijes, unutarnji limeni i vanjski drveni.</w:t>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VI OSNOVNI TEHNIČKI UVJETI IZGRADNJE I PRODAJE GROBOVA</w:t>
      </w:r>
    </w:p>
    <w:p>
      <w:pPr>
        <w:pStyle w:val="NoSpacing"/>
        <w:jc w:val="both"/>
        <w:rPr>
          <w:rFonts w:ascii="Arial" w:hAnsi="Arial" w:cs="Arial"/>
          <w:b/>
          <w:b/>
          <w:sz w:val="24"/>
          <w:szCs w:val="24"/>
        </w:rPr>
      </w:pPr>
      <w:r>
        <w:rPr>
          <w:rFonts w:cs="Arial" w:ascii="Arial" w:hAnsi="Arial"/>
          <w:b/>
          <w:sz w:val="24"/>
          <w:szCs w:val="24"/>
        </w:rPr>
      </w:r>
    </w:p>
    <w:p>
      <w:pPr>
        <w:pStyle w:val="NoSpacing"/>
        <w:jc w:val="center"/>
        <w:rPr>
          <w:rFonts w:ascii="Arial" w:hAnsi="Arial" w:cs="Arial"/>
          <w:b/>
          <w:b/>
          <w:sz w:val="24"/>
          <w:szCs w:val="24"/>
        </w:rPr>
      </w:pPr>
      <w:r>
        <w:rPr>
          <w:rFonts w:cs="Arial" w:ascii="Arial" w:hAnsi="Arial"/>
          <w:b/>
          <w:sz w:val="24"/>
          <w:szCs w:val="24"/>
        </w:rPr>
        <w:t>Članak 20.</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Na gradskom groblju Centar, Poljana i Šarampov Gornji, Isporučitelj ne prodaje grobna mjesta unaprijed, već kada za to postoji potreba, odnosno kada nastupi smrt člana obitelji. Na mjesnom groblju Caginec, Graberje Ivanićko, Posavski Bregi, Lijevi Dubrovčak, Trebovec i Lepšić- Tarno, mogu se prodati grobna mjesta bez obzira na uvjete, odnosno, nije uvjet smrtni slučaj, a što znači da je dozvoljena prodaja unaprijed.</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b/>
          <w:b/>
          <w:sz w:val="24"/>
          <w:szCs w:val="24"/>
        </w:rPr>
      </w:pPr>
      <w:r>
        <w:rPr>
          <w:rFonts w:cs="Arial" w:ascii="Arial" w:hAnsi="Arial"/>
          <w:b/>
          <w:sz w:val="24"/>
          <w:szCs w:val="24"/>
        </w:rPr>
        <w:t>DIMENZIJE GROBOVA</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Neto dimenzija jednostrukog groba (jedno grobno mjesto ): 80 – 90 x 210 cm</w:t>
      </w:r>
    </w:p>
    <w:p>
      <w:pPr>
        <w:pStyle w:val="NoSpacing"/>
        <w:jc w:val="both"/>
        <w:rPr>
          <w:rFonts w:ascii="Arial" w:hAnsi="Arial" w:cs="Arial"/>
          <w:sz w:val="24"/>
          <w:szCs w:val="24"/>
        </w:rPr>
      </w:pPr>
      <w:r>
        <w:rPr>
          <w:rFonts w:cs="Arial" w:ascii="Arial" w:hAnsi="Arial"/>
          <w:sz w:val="24"/>
          <w:szCs w:val="24"/>
        </w:rPr>
        <w:t>(180 – 190 x 300 cm sa pripadajućim stazama)</w:t>
      </w:r>
    </w:p>
    <w:p>
      <w:pPr>
        <w:pStyle w:val="NoSpacing"/>
        <w:jc w:val="both"/>
        <w:rPr>
          <w:rFonts w:ascii="Arial" w:hAnsi="Arial" w:cs="Arial"/>
          <w:sz w:val="24"/>
          <w:szCs w:val="24"/>
        </w:rPr>
      </w:pPr>
      <w:r>
        <w:rPr>
          <w:rFonts w:cs="Arial" w:ascii="Arial" w:hAnsi="Arial"/>
          <w:sz w:val="24"/>
          <w:szCs w:val="24"/>
        </w:rPr>
        <w:t>Neto dimenzija dvostrukog groba (dva grobna mjesta): 160-180 x 210 cm</w:t>
      </w:r>
    </w:p>
    <w:p>
      <w:pPr>
        <w:pStyle w:val="NoSpacing"/>
        <w:jc w:val="both"/>
        <w:rPr>
          <w:rFonts w:ascii="Arial" w:hAnsi="Arial" w:cs="Arial"/>
          <w:sz w:val="24"/>
          <w:szCs w:val="24"/>
        </w:rPr>
      </w:pPr>
      <w:r>
        <w:rPr>
          <w:rFonts w:cs="Arial" w:ascii="Arial" w:hAnsi="Arial"/>
          <w:sz w:val="24"/>
          <w:szCs w:val="24"/>
        </w:rPr>
        <w:t>(260 – 280 x 300 cm sa pripadajućim stazama)</w:t>
      </w:r>
    </w:p>
    <w:p>
      <w:pPr>
        <w:pStyle w:val="NoSpacing"/>
        <w:jc w:val="both"/>
        <w:rPr>
          <w:rFonts w:ascii="Arial" w:hAnsi="Arial" w:cs="Arial"/>
          <w:sz w:val="24"/>
          <w:szCs w:val="24"/>
        </w:rPr>
      </w:pPr>
      <w:r>
        <w:rPr>
          <w:rFonts w:cs="Arial" w:ascii="Arial" w:hAnsi="Arial"/>
          <w:sz w:val="24"/>
          <w:szCs w:val="24"/>
        </w:rPr>
        <w:t>Neto dimenzija trostrukog groba (tri grobna mjesta): 240 x 210 cm</w:t>
      </w:r>
    </w:p>
    <w:p>
      <w:pPr>
        <w:pStyle w:val="NoSpacing"/>
        <w:jc w:val="both"/>
        <w:rPr>
          <w:rFonts w:ascii="Arial" w:hAnsi="Arial" w:cs="Arial"/>
          <w:sz w:val="24"/>
          <w:szCs w:val="24"/>
        </w:rPr>
      </w:pPr>
      <w:r>
        <w:rPr>
          <w:rFonts w:cs="Arial" w:ascii="Arial" w:hAnsi="Arial"/>
          <w:sz w:val="24"/>
          <w:szCs w:val="24"/>
        </w:rPr>
        <w:t>(340 x 300 sa pripadajućim stazama)</w:t>
      </w:r>
    </w:p>
    <w:p>
      <w:pPr>
        <w:pStyle w:val="NoSpacing"/>
        <w:jc w:val="both"/>
        <w:rPr>
          <w:rFonts w:ascii="Arial" w:hAnsi="Arial" w:cs="Arial"/>
          <w:sz w:val="24"/>
          <w:szCs w:val="24"/>
        </w:rPr>
      </w:pPr>
      <w:r>
        <w:rPr>
          <w:rFonts w:cs="Arial" w:ascii="Arial" w:hAnsi="Arial"/>
          <w:sz w:val="24"/>
          <w:szCs w:val="24"/>
        </w:rPr>
        <w:t>Oblaganjem se umanjuje širina staze, s time da neto širina grobnog mjesta i širina staze ne smije biti veća od 280 cm (kod dvostrukog groba), odnosno 190 cm (kod jednostrukog groba).</w:t>
      </w:r>
    </w:p>
    <w:p>
      <w:pPr>
        <w:pStyle w:val="Normal"/>
        <w:rPr>
          <w:rFonts w:ascii="Arial" w:hAnsi="Arial" w:eastAsia="Calibri" w:cs="Arial" w:eastAsiaTheme="minorHAnsi"/>
          <w:b/>
          <w:b/>
          <w:sz w:val="24"/>
          <w:szCs w:val="24"/>
        </w:rPr>
      </w:pPr>
      <w:r>
        <w:rPr>
          <w:rFonts w:eastAsia="Calibri" w:cs="Arial" w:eastAsiaTheme="minorHAnsi" w:ascii="Arial" w:hAnsi="Arial"/>
          <w:b/>
          <w:sz w:val="24"/>
          <w:szCs w:val="24"/>
        </w:rPr>
      </w:r>
      <w:r>
        <w:br w:type="page"/>
      </w:r>
    </w:p>
    <w:p>
      <w:pPr>
        <w:pStyle w:val="NoSpacing"/>
        <w:jc w:val="both"/>
        <w:rPr>
          <w:rFonts w:ascii="Arial" w:hAnsi="Arial" w:cs="Arial"/>
          <w:b/>
          <w:b/>
          <w:sz w:val="24"/>
          <w:szCs w:val="24"/>
        </w:rPr>
      </w:pPr>
      <w:r>
        <w:rPr>
          <w:rFonts w:cs="Arial" w:ascii="Arial" w:hAnsi="Arial"/>
          <w:b/>
          <w:sz w:val="24"/>
          <w:szCs w:val="24"/>
        </w:rPr>
        <w:t>GROB ZA URNE</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Neto dimenzija za 4 urne je 60 x 60 cm</w:t>
      </w:r>
    </w:p>
    <w:p>
      <w:pPr>
        <w:pStyle w:val="NoSpacing"/>
        <w:jc w:val="both"/>
        <w:rPr>
          <w:rFonts w:ascii="Arial" w:hAnsi="Arial" w:cs="Arial"/>
          <w:sz w:val="24"/>
          <w:szCs w:val="24"/>
        </w:rPr>
      </w:pPr>
      <w:r>
        <w:rPr>
          <w:rFonts w:cs="Arial" w:ascii="Arial" w:hAnsi="Arial"/>
          <w:sz w:val="24"/>
          <w:szCs w:val="24"/>
        </w:rPr>
        <w:t>(90 x 90 cm –bruto)</w:t>
      </w:r>
    </w:p>
    <w:p>
      <w:pPr>
        <w:pStyle w:val="NoSpacing"/>
        <w:jc w:val="both"/>
        <w:rPr>
          <w:rFonts w:ascii="Arial" w:hAnsi="Arial" w:cs="Arial"/>
          <w:sz w:val="24"/>
          <w:szCs w:val="24"/>
        </w:rPr>
      </w:pPr>
      <w:r>
        <w:rPr>
          <w:rFonts w:cs="Arial" w:ascii="Arial" w:hAnsi="Arial"/>
          <w:sz w:val="24"/>
          <w:szCs w:val="24"/>
        </w:rPr>
        <w:t>Neto dimenzija za 6 urni je 80 x 80 cm</w:t>
      </w:r>
    </w:p>
    <w:p>
      <w:pPr>
        <w:pStyle w:val="NoSpacing"/>
        <w:jc w:val="both"/>
        <w:rPr>
          <w:rFonts w:ascii="Arial" w:hAnsi="Arial" w:cs="Arial"/>
          <w:sz w:val="24"/>
          <w:szCs w:val="24"/>
        </w:rPr>
      </w:pPr>
      <w:r>
        <w:rPr>
          <w:rFonts w:cs="Arial" w:ascii="Arial" w:hAnsi="Arial"/>
          <w:sz w:val="24"/>
          <w:szCs w:val="24"/>
        </w:rPr>
        <w:t>(100 x 100 cm – bruto)</w:t>
      </w:r>
    </w:p>
    <w:p>
      <w:pPr>
        <w:pStyle w:val="Normal"/>
        <w:rPr>
          <w:rFonts w:ascii="Arial" w:hAnsi="Arial" w:eastAsia="Calibri" w:cs="Arial" w:eastAsiaTheme="minorHAnsi"/>
          <w:b/>
          <w:b/>
          <w:sz w:val="24"/>
          <w:szCs w:val="24"/>
        </w:rPr>
      </w:pPr>
      <w:r>
        <w:rPr>
          <w:rFonts w:eastAsia="Calibri" w:cs="Arial" w:eastAsiaTheme="minorHAnsi" w:ascii="Arial" w:hAnsi="Arial"/>
          <w:b/>
          <w:sz w:val="24"/>
          <w:szCs w:val="24"/>
        </w:rPr>
      </w:r>
    </w:p>
    <w:p>
      <w:pPr>
        <w:pStyle w:val="NoSpacing"/>
        <w:jc w:val="center"/>
        <w:rPr>
          <w:rFonts w:ascii="Arial" w:hAnsi="Arial" w:cs="Arial"/>
          <w:b/>
          <w:b/>
          <w:sz w:val="24"/>
          <w:szCs w:val="24"/>
        </w:rPr>
      </w:pPr>
      <w:r>
        <w:rPr>
          <w:rFonts w:cs="Arial" w:ascii="Arial" w:hAnsi="Arial"/>
          <w:b/>
          <w:sz w:val="24"/>
          <w:szCs w:val="24"/>
        </w:rPr>
        <w:t>VII UVJETI ZA OGRANIČENJE ILI OBUSTAVU ISPORUKE USLUGE</w:t>
      </w:r>
    </w:p>
    <w:p>
      <w:pPr>
        <w:pStyle w:val="NoSpacing"/>
        <w:jc w:val="both"/>
        <w:rPr>
          <w:rFonts w:ascii="Arial" w:hAnsi="Arial" w:cs="Arial"/>
          <w:b/>
          <w:b/>
          <w:sz w:val="24"/>
          <w:szCs w:val="24"/>
        </w:rPr>
      </w:pPr>
      <w:r>
        <w:rPr>
          <w:rFonts w:cs="Arial" w:ascii="Arial" w:hAnsi="Arial"/>
          <w:b/>
          <w:sz w:val="24"/>
          <w:szCs w:val="24"/>
        </w:rPr>
      </w:r>
    </w:p>
    <w:p>
      <w:pPr>
        <w:pStyle w:val="NoSpacing"/>
        <w:jc w:val="center"/>
        <w:rPr>
          <w:rFonts w:ascii="Arial" w:hAnsi="Arial" w:cs="Arial"/>
          <w:b/>
          <w:b/>
          <w:sz w:val="24"/>
          <w:szCs w:val="24"/>
        </w:rPr>
      </w:pPr>
      <w:r>
        <w:rPr>
          <w:rFonts w:cs="Arial" w:ascii="Arial" w:hAnsi="Arial"/>
          <w:b/>
          <w:sz w:val="24"/>
          <w:szCs w:val="24"/>
        </w:rPr>
        <w:t>Članak 21.</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Korisniku grobnog mjesta nije dozvoljeno postavljati klupe.</w:t>
      </w:r>
    </w:p>
    <w:p>
      <w:pPr>
        <w:pStyle w:val="NoSpacing"/>
        <w:jc w:val="both"/>
        <w:rPr>
          <w:rFonts w:ascii="Arial" w:hAnsi="Arial" w:cs="Arial"/>
          <w:sz w:val="24"/>
          <w:szCs w:val="24"/>
        </w:rPr>
      </w:pPr>
      <w:r>
        <w:rPr>
          <w:rFonts w:cs="Arial" w:ascii="Arial" w:hAnsi="Arial"/>
          <w:sz w:val="24"/>
          <w:szCs w:val="24"/>
        </w:rPr>
        <w:t>Korisniku nije dozvoljeno saditi biljke bez prethodnog dogovora s Isporučiteljom.</w:t>
      </w:r>
    </w:p>
    <w:p>
      <w:pPr>
        <w:pStyle w:val="NoSpacing"/>
        <w:jc w:val="both"/>
        <w:rPr>
          <w:rFonts w:ascii="Arial" w:hAnsi="Arial" w:cs="Arial"/>
          <w:sz w:val="24"/>
          <w:szCs w:val="24"/>
        </w:rPr>
      </w:pPr>
      <w:r>
        <w:rPr>
          <w:rFonts w:cs="Arial" w:ascii="Arial" w:hAnsi="Arial"/>
          <w:sz w:val="24"/>
          <w:szCs w:val="24"/>
        </w:rPr>
        <w:t>Ukoliko Korisnik postupa protivno stavku 1. i 2. ovog članka, Isporučitelj ima pravo ukloniti navedeno o trošku Korisnika.</w:t>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Članak 22.</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Isporučitelj usluge  propisuje Uvjete za izvođenje radova na grobljima:</w:t>
      </w:r>
    </w:p>
    <w:p>
      <w:pPr>
        <w:pStyle w:val="NoSpacing"/>
        <w:jc w:val="both"/>
        <w:rPr>
          <w:rFonts w:ascii="Arial" w:hAnsi="Arial" w:cs="Arial"/>
          <w:sz w:val="24"/>
          <w:szCs w:val="24"/>
        </w:rPr>
      </w:pPr>
      <w:r>
        <w:rPr>
          <w:rFonts w:cs="Arial" w:ascii="Arial" w:hAnsi="Arial"/>
          <w:sz w:val="24"/>
          <w:szCs w:val="24"/>
        </w:rPr>
      </w:r>
    </w:p>
    <w:p>
      <w:pPr>
        <w:pStyle w:val="NoSpacing"/>
        <w:numPr>
          <w:ilvl w:val="0"/>
          <w:numId w:val="2"/>
        </w:numPr>
        <w:jc w:val="both"/>
        <w:rPr>
          <w:rFonts w:ascii="Arial" w:hAnsi="Arial" w:cs="Arial"/>
          <w:sz w:val="24"/>
          <w:szCs w:val="24"/>
        </w:rPr>
      </w:pPr>
      <w:r>
        <w:rPr>
          <w:rFonts w:cs="Arial" w:ascii="Arial" w:hAnsi="Arial"/>
          <w:sz w:val="24"/>
          <w:szCs w:val="24"/>
        </w:rPr>
        <w:t>Korisnik grobnog mjesta dužan je prije početka radova na groblju podnijeti zahtjev za izvođenje radova te zatražiti Dozvolu za izvođenje radova.</w:t>
      </w:r>
    </w:p>
    <w:p>
      <w:pPr>
        <w:pStyle w:val="NoSpacing"/>
        <w:numPr>
          <w:ilvl w:val="0"/>
          <w:numId w:val="2"/>
        </w:numPr>
        <w:jc w:val="both"/>
        <w:rPr>
          <w:rFonts w:ascii="Arial" w:hAnsi="Arial" w:cs="Arial"/>
          <w:sz w:val="24"/>
          <w:szCs w:val="24"/>
        </w:rPr>
      </w:pPr>
      <w:r>
        <w:rPr>
          <w:rFonts w:cs="Arial" w:ascii="Arial" w:hAnsi="Arial"/>
          <w:sz w:val="24"/>
          <w:szCs w:val="24"/>
        </w:rPr>
        <w:t>Izvođač radova (klesar) dužan je prije početka radova zatražiti od Korisnika grobnog mjesta Dozvolu za izvođenje radova od strane Isporučitelja.</w:t>
      </w:r>
    </w:p>
    <w:p>
      <w:pPr>
        <w:pStyle w:val="NoSpacing"/>
        <w:numPr>
          <w:ilvl w:val="0"/>
          <w:numId w:val="2"/>
        </w:numPr>
        <w:jc w:val="both"/>
        <w:rPr>
          <w:rFonts w:ascii="Arial" w:hAnsi="Arial" w:cs="Arial"/>
          <w:sz w:val="24"/>
          <w:szCs w:val="24"/>
        </w:rPr>
      </w:pPr>
      <w:r>
        <w:rPr>
          <w:rFonts w:cs="Arial" w:ascii="Arial" w:hAnsi="Arial"/>
          <w:sz w:val="24"/>
          <w:szCs w:val="24"/>
        </w:rPr>
        <w:t>Izvođač radova obvezuje se da će radove izvoditi točno prema uputama Isporučitelja usluge.</w:t>
      </w:r>
    </w:p>
    <w:p>
      <w:pPr>
        <w:pStyle w:val="NoSpacing"/>
        <w:numPr>
          <w:ilvl w:val="0"/>
          <w:numId w:val="2"/>
        </w:numPr>
        <w:jc w:val="both"/>
        <w:rPr>
          <w:rFonts w:ascii="Arial" w:hAnsi="Arial" w:cs="Arial"/>
          <w:sz w:val="24"/>
          <w:szCs w:val="24"/>
        </w:rPr>
      </w:pPr>
      <w:r>
        <w:rPr>
          <w:rFonts w:cs="Arial" w:ascii="Arial" w:hAnsi="Arial"/>
          <w:sz w:val="24"/>
          <w:szCs w:val="24"/>
        </w:rPr>
        <w:t>Radovi se moraju izvoditi isključivo radnim danom od 7 do 17 sati, iznimno u vrijeme trajanja pogreba, izvođači su dužni prekinuti sve radove 1 sat prije te do završetka ceremonije pogreba.</w:t>
      </w:r>
    </w:p>
    <w:p>
      <w:pPr>
        <w:pStyle w:val="NoSpacing"/>
        <w:numPr>
          <w:ilvl w:val="0"/>
          <w:numId w:val="2"/>
        </w:numPr>
        <w:jc w:val="both"/>
        <w:rPr>
          <w:rFonts w:ascii="Arial" w:hAnsi="Arial" w:cs="Arial"/>
          <w:sz w:val="24"/>
          <w:szCs w:val="24"/>
        </w:rPr>
      </w:pPr>
      <w:r>
        <w:rPr>
          <w:rFonts w:cs="Arial" w:ascii="Arial" w:hAnsi="Arial"/>
          <w:sz w:val="24"/>
          <w:szCs w:val="24"/>
        </w:rPr>
        <w:t>Radovi se moraju izvoditi na način da se do najveće mjere očuva mir i dostojanstvo na groblju.</w:t>
      </w:r>
    </w:p>
    <w:p>
      <w:pPr>
        <w:pStyle w:val="NoSpacing"/>
        <w:numPr>
          <w:ilvl w:val="0"/>
          <w:numId w:val="2"/>
        </w:numPr>
        <w:jc w:val="both"/>
        <w:rPr>
          <w:rFonts w:ascii="Arial" w:hAnsi="Arial" w:cs="Arial"/>
          <w:sz w:val="24"/>
          <w:szCs w:val="24"/>
        </w:rPr>
      </w:pPr>
      <w:r>
        <w:rPr>
          <w:rFonts w:cs="Arial" w:ascii="Arial" w:hAnsi="Arial"/>
          <w:sz w:val="24"/>
          <w:szCs w:val="24"/>
        </w:rPr>
        <w:t>Sve radne operacije (miješanje betona) i sav materijal (cement, pijesak, šljunak, miješalica) obavljaju se i nalaze na točno određenom mjestu, a kojega odredi Uprava groblja.</w:t>
      </w:r>
    </w:p>
    <w:p>
      <w:pPr>
        <w:pStyle w:val="NoSpacing"/>
        <w:numPr>
          <w:ilvl w:val="0"/>
          <w:numId w:val="2"/>
        </w:numPr>
        <w:jc w:val="both"/>
        <w:rPr>
          <w:rFonts w:ascii="Arial" w:hAnsi="Arial" w:cs="Arial"/>
          <w:sz w:val="24"/>
          <w:szCs w:val="24"/>
        </w:rPr>
      </w:pPr>
      <w:r>
        <w:rPr>
          <w:rFonts w:cs="Arial" w:ascii="Arial" w:hAnsi="Arial"/>
          <w:sz w:val="24"/>
          <w:szCs w:val="24"/>
        </w:rPr>
        <w:t>Za prijevoz materijala potrebnog za izvođenje radova na groblju mogu se koristiti samo oni putovi i staze koje odredi  Uprava groblja.</w:t>
      </w:r>
    </w:p>
    <w:p>
      <w:pPr>
        <w:pStyle w:val="NoSpacing"/>
        <w:numPr>
          <w:ilvl w:val="0"/>
          <w:numId w:val="2"/>
        </w:numPr>
        <w:jc w:val="both"/>
        <w:rPr>
          <w:rFonts w:ascii="Arial" w:hAnsi="Arial" w:cs="Arial"/>
          <w:sz w:val="24"/>
          <w:szCs w:val="24"/>
        </w:rPr>
      </w:pPr>
      <w:r>
        <w:rPr>
          <w:rFonts w:cs="Arial" w:ascii="Arial" w:hAnsi="Arial"/>
          <w:sz w:val="24"/>
          <w:szCs w:val="24"/>
        </w:rPr>
        <w:t>Dva tjedna uoči blagdana Svih Svetih zabranjuje se izvođenje svih radova (građevinski, klesarski), na svim gradskim i mjesnim grobljima, tj. u periodu 15.10. – 03.11. tekuće godine ne izvode se navedeni radovi.</w:t>
      </w:r>
    </w:p>
    <w:p>
      <w:pPr>
        <w:pStyle w:val="Normal"/>
        <w:rPr>
          <w:rFonts w:ascii="Arial" w:hAnsi="Arial" w:eastAsia="Calibri" w:cs="Arial" w:eastAsiaTheme="minorHAnsi"/>
          <w:b/>
          <w:b/>
          <w:sz w:val="24"/>
          <w:szCs w:val="24"/>
        </w:rPr>
      </w:pPr>
      <w:r>
        <w:rPr>
          <w:rFonts w:eastAsia="Calibri" w:cs="Arial" w:eastAsiaTheme="minorHAnsi" w:ascii="Arial" w:hAnsi="Arial"/>
          <w:b/>
          <w:sz w:val="24"/>
          <w:szCs w:val="24"/>
        </w:rPr>
      </w:r>
      <w:r>
        <w:br w:type="page"/>
      </w:r>
    </w:p>
    <w:p>
      <w:pPr>
        <w:pStyle w:val="NoSpacing"/>
        <w:jc w:val="center"/>
        <w:rPr>
          <w:rFonts w:ascii="Arial" w:hAnsi="Arial" w:cs="Arial"/>
          <w:b/>
          <w:b/>
          <w:sz w:val="24"/>
          <w:szCs w:val="24"/>
        </w:rPr>
      </w:pPr>
      <w:r>
        <w:rPr>
          <w:rFonts w:cs="Arial" w:ascii="Arial" w:hAnsi="Arial"/>
          <w:b/>
          <w:sz w:val="24"/>
          <w:szCs w:val="24"/>
        </w:rPr>
        <w:t>VIII NAČIN OBRAČUNA CIJENE USLUGE, PLAĆANJA I OTKLANJANJA</w:t>
      </w:r>
    </w:p>
    <w:p>
      <w:pPr>
        <w:pStyle w:val="NoSpacing"/>
        <w:jc w:val="center"/>
        <w:rPr>
          <w:rFonts w:ascii="Arial" w:hAnsi="Arial" w:cs="Arial"/>
          <w:b/>
          <w:b/>
          <w:sz w:val="24"/>
          <w:szCs w:val="24"/>
        </w:rPr>
      </w:pPr>
      <w:r>
        <w:rPr>
          <w:rFonts w:cs="Arial" w:ascii="Arial" w:hAnsi="Arial"/>
          <w:b/>
          <w:sz w:val="24"/>
          <w:szCs w:val="24"/>
        </w:rPr>
        <w:t>POGREŠAKA U OBRAČUNU</w:t>
      </w:r>
    </w:p>
    <w:p>
      <w:pPr>
        <w:pStyle w:val="NoSpacing"/>
        <w:jc w:val="both"/>
        <w:rPr>
          <w:rFonts w:ascii="Arial" w:hAnsi="Arial" w:cs="Arial"/>
          <w:b/>
          <w:b/>
          <w:sz w:val="24"/>
          <w:szCs w:val="24"/>
        </w:rPr>
      </w:pPr>
      <w:r>
        <w:rPr>
          <w:rFonts w:cs="Arial" w:ascii="Arial" w:hAnsi="Arial"/>
          <w:b/>
          <w:sz w:val="24"/>
          <w:szCs w:val="24"/>
        </w:rPr>
      </w:r>
    </w:p>
    <w:p>
      <w:pPr>
        <w:pStyle w:val="NoSpacing"/>
        <w:jc w:val="center"/>
        <w:rPr>
          <w:rFonts w:ascii="Arial" w:hAnsi="Arial" w:cs="Arial"/>
          <w:b/>
          <w:b/>
          <w:sz w:val="24"/>
          <w:szCs w:val="24"/>
        </w:rPr>
      </w:pPr>
      <w:r>
        <w:rPr>
          <w:rFonts w:cs="Arial" w:ascii="Arial" w:hAnsi="Arial"/>
          <w:b/>
          <w:sz w:val="24"/>
          <w:szCs w:val="24"/>
        </w:rPr>
        <w:t>Članak 23.</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Način obračuna naknade (cijena) za godišnju grobnu naknadu, ustupanje grobnog mjesta, pripremu grobnog mjesta, uslugu uređenja grobnog mjesta, dozvole i dr. određene su cjenikom usluga Uprave groblja.</w:t>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Članak 24.</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Korisnik plaća grobljanske usluge i druge usluge ovisno o vrsti obavljene usluge.</w:t>
      </w:r>
    </w:p>
    <w:p>
      <w:pPr>
        <w:pStyle w:val="NoSpacing"/>
        <w:jc w:val="both"/>
        <w:rPr>
          <w:rFonts w:ascii="Arial" w:hAnsi="Arial" w:cs="Arial"/>
          <w:sz w:val="24"/>
          <w:szCs w:val="24"/>
        </w:rPr>
      </w:pPr>
      <w:r>
        <w:rPr>
          <w:rFonts w:cs="Arial" w:ascii="Arial" w:hAnsi="Arial"/>
          <w:sz w:val="24"/>
          <w:szCs w:val="24"/>
        </w:rPr>
        <w:t>Grobno mjesto, godišnju grobnu naknadu, pripremu grobnog mjesta, uslugu uređenja grobnog mjesta, dozvolu i dr., Korisnik plaća na osnovu ispostavljenog računa Isporučitelja.</w:t>
      </w:r>
    </w:p>
    <w:p>
      <w:pPr>
        <w:pStyle w:val="NoSpacing"/>
        <w:jc w:val="both"/>
        <w:rPr>
          <w:rFonts w:ascii="Arial" w:hAnsi="Arial" w:cs="Arial"/>
          <w:sz w:val="24"/>
          <w:szCs w:val="24"/>
        </w:rPr>
      </w:pPr>
      <w:r>
        <w:rPr>
          <w:rFonts w:cs="Arial" w:ascii="Arial" w:hAnsi="Arial"/>
          <w:sz w:val="24"/>
          <w:szCs w:val="24"/>
        </w:rPr>
        <w:t>Godišnju grobnu naknadu (za naredne godine za vrijeme trajanja prava korištenja grobnog mjesta), Korisnik plaća na osnovi ispostavljenog računa za tekuću godinu.</w:t>
      </w:r>
    </w:p>
    <w:p>
      <w:pPr>
        <w:pStyle w:val="NoSpacing"/>
        <w:jc w:val="both"/>
        <w:rPr>
          <w:rFonts w:ascii="Arial" w:hAnsi="Arial" w:cs="Arial"/>
          <w:sz w:val="24"/>
          <w:szCs w:val="24"/>
        </w:rPr>
      </w:pPr>
      <w:r>
        <w:rPr>
          <w:rFonts w:cs="Arial" w:ascii="Arial" w:hAnsi="Arial"/>
          <w:sz w:val="24"/>
          <w:szCs w:val="24"/>
        </w:rPr>
        <w:t>Isporučitelj je dužan ispostaviti račun za grobnu naknadu najkasnije do 31.03. tekuće godine, a Korisnici su dužni isti podmiriti najkasnije do 01. listopada tekuće godine.</w:t>
      </w:r>
    </w:p>
    <w:p>
      <w:pPr>
        <w:pStyle w:val="NoSpacing"/>
        <w:jc w:val="both"/>
        <w:rPr>
          <w:rFonts w:ascii="Arial" w:hAnsi="Arial" w:cs="Arial"/>
          <w:sz w:val="24"/>
          <w:szCs w:val="24"/>
        </w:rPr>
      </w:pPr>
      <w:r>
        <w:rPr>
          <w:rFonts w:cs="Arial" w:ascii="Arial" w:hAnsi="Arial"/>
          <w:sz w:val="24"/>
          <w:szCs w:val="24"/>
        </w:rPr>
        <w:t>Račun za obavljenu grobljansku uslugu i dr. sadrži podatke o Isporučitelju, o Korisniku, vrsti grobljanske usluge i dr., te cijenu usluge prema važećem cjeniku usluge Uprave groblja.</w:t>
      </w:r>
    </w:p>
    <w:p>
      <w:pPr>
        <w:pStyle w:val="NoSpacing"/>
        <w:jc w:val="both"/>
        <w:rPr>
          <w:rFonts w:ascii="Arial" w:hAnsi="Arial" w:cs="Arial"/>
          <w:sz w:val="24"/>
          <w:szCs w:val="24"/>
        </w:rPr>
      </w:pPr>
      <w:r>
        <w:rPr>
          <w:rFonts w:cs="Arial" w:ascii="Arial" w:hAnsi="Arial"/>
          <w:sz w:val="24"/>
          <w:szCs w:val="24"/>
        </w:rPr>
        <w:t>Kod pogrešno obračunatih računa za izvršenu grobljansku uslugu, Korisnik je dužan o tome odmah, a najkasnije 15 dana od dostave računa, izvijestiti Isporučitelja.</w:t>
      </w:r>
    </w:p>
    <w:p>
      <w:pPr>
        <w:pStyle w:val="NoSpacing"/>
        <w:jc w:val="both"/>
        <w:rPr>
          <w:rFonts w:ascii="Arial" w:hAnsi="Arial" w:cs="Arial"/>
          <w:sz w:val="24"/>
          <w:szCs w:val="24"/>
        </w:rPr>
      </w:pPr>
      <w:r>
        <w:rPr>
          <w:rFonts w:cs="Arial" w:ascii="Arial" w:hAnsi="Arial"/>
          <w:sz w:val="24"/>
          <w:szCs w:val="24"/>
        </w:rPr>
      </w:r>
      <w:bookmarkStart w:id="0" w:name="_GoBack"/>
      <w:bookmarkStart w:id="1" w:name="_GoBack"/>
      <w:bookmarkEnd w:id="1"/>
    </w:p>
    <w:p>
      <w:pPr>
        <w:pStyle w:val="NoSpacing"/>
        <w:jc w:val="center"/>
        <w:rPr>
          <w:rFonts w:ascii="Arial" w:hAnsi="Arial" w:cs="Arial"/>
          <w:b/>
          <w:b/>
          <w:sz w:val="24"/>
          <w:szCs w:val="24"/>
        </w:rPr>
      </w:pPr>
      <w:r>
        <w:rPr>
          <w:rFonts w:cs="Arial" w:ascii="Arial" w:hAnsi="Arial"/>
          <w:b/>
          <w:sz w:val="24"/>
          <w:szCs w:val="24"/>
        </w:rPr>
        <w:t>IX NEOVLAŠTENO KORIŠTENJE USLUGA</w:t>
      </w:r>
    </w:p>
    <w:p>
      <w:pPr>
        <w:pStyle w:val="NoSpacing"/>
        <w:jc w:val="both"/>
        <w:rPr>
          <w:rFonts w:ascii="Arial" w:hAnsi="Arial" w:cs="Arial"/>
          <w:b/>
          <w:b/>
          <w:sz w:val="24"/>
          <w:szCs w:val="24"/>
        </w:rPr>
      </w:pPr>
      <w:r>
        <w:rPr>
          <w:rFonts w:cs="Arial" w:ascii="Arial" w:hAnsi="Arial"/>
          <w:b/>
          <w:sz w:val="24"/>
          <w:szCs w:val="24"/>
        </w:rPr>
      </w:r>
    </w:p>
    <w:p>
      <w:pPr>
        <w:pStyle w:val="NoSpacing"/>
        <w:jc w:val="center"/>
        <w:rPr>
          <w:rFonts w:ascii="Arial" w:hAnsi="Arial" w:cs="Arial"/>
          <w:b/>
          <w:b/>
          <w:sz w:val="24"/>
          <w:szCs w:val="24"/>
        </w:rPr>
      </w:pPr>
      <w:r>
        <w:rPr>
          <w:rFonts w:cs="Arial" w:ascii="Arial" w:hAnsi="Arial"/>
          <w:b/>
          <w:sz w:val="24"/>
          <w:szCs w:val="24"/>
        </w:rPr>
        <w:t>Članak 25.</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Kupnja grobnog mjesta nije dozvoljena u svrhu preprodaje. Preprodajom se smatra prenošenje prava korištenja grobnog mjesta na treću osobu u roku od 5 godina od kupnje grobnog mjesta.</w:t>
      </w:r>
    </w:p>
    <w:p>
      <w:pPr>
        <w:pStyle w:val="NoSpacing"/>
        <w:jc w:val="both"/>
        <w:rPr>
          <w:rFonts w:ascii="Arial" w:hAnsi="Arial" w:cs="Arial"/>
          <w:sz w:val="24"/>
          <w:szCs w:val="24"/>
        </w:rPr>
      </w:pPr>
      <w:r>
        <w:rPr>
          <w:rFonts w:cs="Arial" w:ascii="Arial" w:hAnsi="Arial"/>
          <w:sz w:val="24"/>
          <w:szCs w:val="24"/>
        </w:rPr>
        <w:t>Preprodajom se ne smatra prenošenje prava korištenja u roku kraćem od 5 godina ukoliko se ista obavlja radi ukopa umrle osobe.</w:t>
      </w:r>
    </w:p>
    <w:p>
      <w:pPr>
        <w:pStyle w:val="NoSpacing"/>
        <w:jc w:val="both"/>
        <w:rPr>
          <w:rFonts w:ascii="Arial" w:hAnsi="Arial" w:cs="Arial"/>
          <w:b/>
          <w:b/>
          <w:sz w:val="24"/>
          <w:szCs w:val="24"/>
        </w:rPr>
      </w:pPr>
      <w:r>
        <w:rPr>
          <w:rFonts w:cs="Arial" w:ascii="Arial" w:hAnsi="Arial"/>
          <w:b/>
          <w:sz w:val="24"/>
          <w:szCs w:val="24"/>
        </w:rPr>
      </w:r>
    </w:p>
    <w:p>
      <w:pPr>
        <w:pStyle w:val="NoSpacing"/>
        <w:jc w:val="center"/>
        <w:rPr>
          <w:rFonts w:ascii="Arial" w:hAnsi="Arial" w:cs="Arial"/>
          <w:b/>
          <w:b/>
          <w:sz w:val="24"/>
          <w:szCs w:val="24"/>
        </w:rPr>
      </w:pPr>
      <w:r>
        <w:rPr>
          <w:rFonts w:cs="Arial" w:ascii="Arial" w:hAnsi="Arial"/>
          <w:b/>
          <w:sz w:val="24"/>
          <w:szCs w:val="24"/>
        </w:rPr>
        <w:t>X PRIJELAZNE I ZAVRŠNE ODREDBE</w:t>
      </w:r>
    </w:p>
    <w:p>
      <w:pPr>
        <w:pStyle w:val="NoSpacing"/>
        <w:jc w:val="both"/>
        <w:rPr>
          <w:rFonts w:ascii="Arial" w:hAnsi="Arial" w:cs="Arial"/>
          <w:b/>
          <w:b/>
          <w:sz w:val="24"/>
          <w:szCs w:val="24"/>
        </w:rPr>
      </w:pPr>
      <w:r>
        <w:rPr>
          <w:rFonts w:cs="Arial" w:ascii="Arial" w:hAnsi="Arial"/>
          <w:b/>
          <w:sz w:val="24"/>
          <w:szCs w:val="24"/>
        </w:rPr>
      </w:r>
    </w:p>
    <w:p>
      <w:pPr>
        <w:pStyle w:val="NoSpacing"/>
        <w:jc w:val="center"/>
        <w:rPr>
          <w:rFonts w:ascii="Arial" w:hAnsi="Arial" w:cs="Arial"/>
          <w:b/>
          <w:b/>
          <w:sz w:val="24"/>
          <w:szCs w:val="24"/>
        </w:rPr>
      </w:pPr>
      <w:r>
        <w:rPr>
          <w:rFonts w:cs="Arial" w:ascii="Arial" w:hAnsi="Arial"/>
          <w:b/>
          <w:sz w:val="24"/>
          <w:szCs w:val="24"/>
        </w:rPr>
        <w:t>Članak 26.</w:t>
      </w:r>
    </w:p>
    <w:p>
      <w:pPr>
        <w:pStyle w:val="NoSpacing"/>
        <w:jc w:val="both"/>
        <w:rPr>
          <w:rFonts w:ascii="Arial" w:hAnsi="Arial" w:cs="Arial"/>
          <w:b/>
          <w:b/>
          <w:sz w:val="24"/>
          <w:szCs w:val="24"/>
        </w:rPr>
      </w:pPr>
      <w:r>
        <w:rPr>
          <w:rFonts w:cs="Arial" w:ascii="Arial" w:hAnsi="Arial"/>
          <w:b/>
          <w:sz w:val="24"/>
          <w:szCs w:val="24"/>
        </w:rPr>
      </w:r>
    </w:p>
    <w:p>
      <w:pPr>
        <w:pStyle w:val="Normal"/>
        <w:spacing w:lineRule="auto" w:line="259" w:before="0" w:after="0"/>
        <w:contextualSpacing/>
        <w:jc w:val="both"/>
        <w:rPr/>
      </w:pPr>
      <w:r>
        <w:rPr>
          <w:rFonts w:cs="Arial" w:ascii="Arial" w:hAnsi="Arial"/>
          <w:sz w:val="24"/>
          <w:szCs w:val="24"/>
        </w:rPr>
        <w:t xml:space="preserve">Opći uvjeti objavljuju se u Službenom glasniku Grada Ivanić-Grada, na mrežnim stranicama Grada </w:t>
      </w:r>
      <w:hyperlink r:id="rId2">
        <w:r>
          <w:rPr>
            <w:rStyle w:val="Internetskapoveznica"/>
            <w:rFonts w:cs="Arial" w:ascii="Arial" w:hAnsi="Arial"/>
            <w:color w:val="00000A"/>
            <w:sz w:val="24"/>
            <w:szCs w:val="24"/>
            <w:u w:val="none"/>
          </w:rPr>
          <w:t>www.ivanic-grad.hr</w:t>
        </w:r>
      </w:hyperlink>
      <w:r>
        <w:rPr>
          <w:rFonts w:cs="Arial" w:ascii="Arial" w:hAnsi="Arial"/>
          <w:sz w:val="24"/>
          <w:szCs w:val="24"/>
        </w:rPr>
        <w:t xml:space="preserve">, na oglasnoj ploči i mrežnim stranicama isporučitelja komunalne usluge Komunalnog centra Ivanić-Grad d.o.o., </w:t>
      </w:r>
      <w:hyperlink r:id="rId3">
        <w:r>
          <w:rPr>
            <w:rStyle w:val="Internetskapoveznica"/>
            <w:rFonts w:cs="Arial" w:ascii="Arial" w:hAnsi="Arial"/>
            <w:color w:val="00000A"/>
            <w:sz w:val="24"/>
            <w:szCs w:val="24"/>
            <w:u w:val="none"/>
          </w:rPr>
          <w:t>www.kcig.hr</w:t>
        </w:r>
      </w:hyperlink>
      <w:r>
        <w:rPr>
          <w:rFonts w:cs="Arial" w:ascii="Arial" w:hAnsi="Arial"/>
          <w:sz w:val="24"/>
          <w:szCs w:val="24"/>
        </w:rPr>
        <w:t>.</w:t>
      </w:r>
    </w:p>
    <w:p>
      <w:pPr>
        <w:pStyle w:val="Normal"/>
        <w:spacing w:lineRule="auto" w:line="259" w:before="0" w:after="160"/>
        <w:contextualSpacing/>
        <w:jc w:val="both"/>
        <w:rPr>
          <w:rFonts w:ascii="Arial" w:hAnsi="Arial" w:cs="Arial"/>
          <w:sz w:val="24"/>
          <w:szCs w:val="24"/>
        </w:rPr>
      </w:pPr>
      <w:r>
        <w:rPr>
          <w:rFonts w:cs="Arial" w:ascii="Arial" w:hAnsi="Arial"/>
          <w:sz w:val="24"/>
          <w:szCs w:val="24"/>
        </w:rPr>
      </w:r>
    </w:p>
    <w:p>
      <w:pPr>
        <w:pStyle w:val="Normal"/>
        <w:spacing w:lineRule="auto" w:line="259" w:before="0" w:after="160"/>
        <w:contextualSpacing/>
        <w:jc w:val="both"/>
        <w:rPr>
          <w:rFonts w:ascii="Arial" w:hAnsi="Arial" w:cs="Arial"/>
          <w:sz w:val="24"/>
          <w:szCs w:val="24"/>
        </w:rPr>
      </w:pPr>
      <w:r>
        <w:rPr>
          <w:rFonts w:cs="Arial" w:ascii="Arial" w:hAnsi="Arial"/>
          <w:sz w:val="24"/>
          <w:szCs w:val="24"/>
        </w:rPr>
      </w:r>
    </w:p>
    <w:p>
      <w:pPr>
        <w:pStyle w:val="Normal"/>
        <w:spacing w:lineRule="auto" w:line="259" w:before="0" w:after="160"/>
        <w:contextualSpacing/>
        <w:jc w:val="both"/>
        <w:rPr>
          <w:rFonts w:ascii="Arial" w:hAnsi="Arial" w:cs="Arial"/>
          <w:sz w:val="24"/>
          <w:szCs w:val="24"/>
        </w:rPr>
      </w:pPr>
      <w:r>
        <w:rPr>
          <w:rFonts w:cs="Arial" w:ascii="Arial" w:hAnsi="Arial"/>
          <w:sz w:val="24"/>
          <w:szCs w:val="24"/>
        </w:rPr>
        <w:t>Komunalni centar Ivanić-Grad d.o.o.</w:t>
      </w:r>
    </w:p>
    <w:p>
      <w:pPr>
        <w:pStyle w:val="Normal"/>
        <w:spacing w:lineRule="auto" w:line="259" w:before="0" w:after="160"/>
        <w:contextualSpacing/>
        <w:jc w:val="both"/>
        <w:rPr>
          <w:rFonts w:ascii="Arial" w:hAnsi="Arial" w:cs="Arial"/>
          <w:sz w:val="24"/>
          <w:szCs w:val="24"/>
        </w:rPr>
      </w:pPr>
      <w:r>
        <w:rPr>
          <w:rFonts w:cs="Arial" w:ascii="Arial" w:hAnsi="Arial"/>
          <w:sz w:val="24"/>
          <w:szCs w:val="24"/>
        </w:rPr>
        <w:t>Direktor:</w:t>
      </w:r>
    </w:p>
    <w:p>
      <w:pPr>
        <w:pStyle w:val="Normal"/>
        <w:spacing w:lineRule="auto" w:line="259" w:before="0" w:after="160"/>
        <w:contextualSpacing/>
        <w:jc w:val="both"/>
        <w:rPr/>
      </w:pPr>
      <w:r>
        <w:rPr>
          <w:rFonts w:cs="Arial" w:ascii="Arial" w:hAnsi="Arial"/>
          <w:sz w:val="24"/>
          <w:szCs w:val="24"/>
        </w:rPr>
        <w:t>Mario Mikulić, ing. građ.</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74ce"/>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unhideWhenUsed/>
    <w:rsid w:val="00e53928"/>
    <w:rPr>
      <w:color w:val="0000FF" w:themeColor="hyperlink"/>
      <w:u w:val="single"/>
    </w:rPr>
  </w:style>
  <w:style w:type="character" w:styleId="TekstbaloniaChar" w:customStyle="1">
    <w:name w:val="Tekst balončića Char"/>
    <w:basedOn w:val="DefaultParagraphFont"/>
    <w:link w:val="Tekstbalonia"/>
    <w:uiPriority w:val="99"/>
    <w:semiHidden/>
    <w:qFormat/>
    <w:rsid w:val="004e628b"/>
    <w:rPr>
      <w:rFonts w:ascii="Tahoma" w:hAnsi="Tahoma" w:cs="Tahoma"/>
      <w:sz w:val="16"/>
      <w:szCs w:val="16"/>
    </w:rPr>
  </w:style>
  <w:style w:type="character" w:styleId="ListLabel1">
    <w:name w:val="ListLabel 1"/>
    <w:qFormat/>
    <w:rPr>
      <w:rFonts w:ascii="Arial" w:hAnsi="Arial"/>
      <w:b/>
      <w:sz w:val="24"/>
    </w:rPr>
  </w:style>
  <w:style w:type="character" w:styleId="ListLabel2">
    <w:name w:val="ListLabel 2"/>
    <w:qFormat/>
    <w:rPr>
      <w:b/>
    </w:rPr>
  </w:style>
  <w:style w:type="character" w:styleId="ListLabel3">
    <w:name w:val="ListLabel 3"/>
    <w:qFormat/>
    <w:rPr>
      <w:rFonts w:ascii="Arial" w:hAnsi="Arial" w:cs="Arial"/>
      <w:color w:val="00000A"/>
      <w:sz w:val="24"/>
      <w:szCs w:val="24"/>
      <w:u w:val="none"/>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rsid w:val="008a3dd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BalloonText">
    <w:name w:val="Balloon Text"/>
    <w:basedOn w:val="Normal"/>
    <w:link w:val="TekstbaloniaChar"/>
    <w:uiPriority w:val="99"/>
    <w:semiHidden/>
    <w:unhideWhenUsed/>
    <w:qFormat/>
    <w:rsid w:val="004e628b"/>
    <w:pPr>
      <w:spacing w:lineRule="auto" w:line="240" w:before="0" w:after="0"/>
    </w:pPr>
    <w:rPr>
      <w:rFonts w:ascii="Tahoma" w:hAnsi="Tahoma" w:cs="Tahoma"/>
      <w:sz w:val="16"/>
      <w:szCs w:val="16"/>
    </w:rPr>
  </w:style>
  <w:style w:type="paragraph" w:styleId="ListParagraph">
    <w:name w:val="List Paragraph"/>
    <w:basedOn w:val="Normal"/>
    <w:uiPriority w:val="34"/>
    <w:qFormat/>
    <w:rsid w:val="00193cf0"/>
    <w:pPr>
      <w:spacing w:before="0" w:after="20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vanic-grad.hr/" TargetMode="External"/><Relationship Id="rId3" Type="http://schemas.openxmlformats.org/officeDocument/2006/relationships/hyperlink" Target="http://www.kcig.h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56AC-122F-4B6F-A262-196E6962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LibreOffice/6.0.3.2$Windows_x86 LibreOffice_project/8f48d515416608e3a835360314dac7e47fd0b821</Application>
  <Pages>17</Pages>
  <Words>2674</Words>
  <Characters>15597</Characters>
  <CharactersWithSpaces>18108</CharactersWithSpaces>
  <Paragraphs>162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2019-03-01T12:51:00Z</dcterms:created>
  <dc:creator>ihabulin</dc:creator>
  <dc:description/>
  <dc:language>hr-HR</dc:language>
  <cp:lastModifiedBy>Mario</cp:lastModifiedBy>
  <cp:lastPrinted>2019-03-13T12:45:00Z</cp:lastPrinted>
  <dcterms:modified xsi:type="dcterms:W3CDTF">2019-03-13T12:52:00Z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